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159"/>
        <w:contextualSpacing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 проекту федерального закона</w:t>
      </w:r>
    </w:p>
    <w:p>
      <w:pPr>
        <w:pStyle w:val="Normal"/>
        <w:spacing w:lineRule="auto" w:line="240" w:before="0" w:after="159"/>
        <w:contextualSpacing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«О внесении изменений в часть вторую</w:t>
        <w:br/>
        <w:t>Налогового кодекса Российской Федерации»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338 Налогового кодекса Российской Федерации (далее-НК РФ) налоговая база по налогу на добычу полезных ископаемых в части полезных ископаемых, отнесенных к неметаллическому сырью, используемому</w:t>
        <w:br/>
        <w:t xml:space="preserve">в основном в строительной индустрии, большинство которых являются общераспространенными, определяется как стоимость добытых полезных ископаемых.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ряда полезных ископаемых (нефть, газ, уголь и других) налоговой базой является количество добытых полезных ископаемых в натуральном выражении.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Согласно статьи 340 НК РФ оценка стоимости добытых полезных ископаемых определяется налогоплательщиком самостоятельно одним из следующих способов: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исходя из сложившихся у налогоплательщика за соответствующий налоговый период цен реализации без учета субсидий;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исходя из сложившихся у налогоплательщика за соответствующий налоговый период цен реализации добытого полезного ископаемого;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исходя из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расчетной стоимости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добытых полезных ископаемых.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Ставка налога на добычу полезных ископаемых при добыче неметаллического сырья, используемого в основном в строительной индустрии, установлена подпунктом 4 пункта 2 статьи 342 НК РФ в размере 5,5%.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2023 году поступления по налогу на добычу общераспространенных полезных ископаемых (ОПИ) в бюджет Республики Татарстан составили 131,9 млн рублей. Объем добычи ОПИ за 2023 год составил 18,9 млн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  <w:t xml:space="preserve"> Стоимость ОПИ при расчете НДПИ составила 126,9 руб. (131,9 : 18,9 : 5,5% = </w:t>
      </w:r>
      <w:r>
        <w:rPr>
          <w:rFonts w:eastAsia="Calibri" w:cs="Times New Roman" w:ascii="Times New Roman" w:hAnsi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126,9).</w:t>
      </w:r>
    </w:p>
    <w:p>
      <w:pPr>
        <w:pStyle w:val="1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В то же время по данным Росстата средняя стоимость ОПИ в Российской Федерации в 2023 году составила 618,39 руб./м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>3</w:t>
      </w: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, в Приволжском федеральном округе — 621,77 руб./м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>3</w:t>
      </w: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 xml:space="preserve">.  При имеющемся объеме добычи поступления НДПИ при использовании в расчетах средних цен Росстата составят порядка 650 млн рублей.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  <w:t>Принимая во внимание, что цены Росстата являются приближенными</w:t>
        <w:br/>
        <w:t>к реальным рыночным ценам на ОПИ, ставку налога предлагается принять равной 34 рубля за 1 м</w:t>
      </w:r>
      <w:r>
        <w:rPr>
          <w:rFonts w:cs="Times New Roman" w:ascii="Times New Roman" w:hAnsi="Times New Roman"/>
          <w:sz w:val="28"/>
          <w:szCs w:val="28"/>
          <w:shd w:fill="auto" w:val="clear"/>
          <w:vertAlign w:val="superscript"/>
        </w:rPr>
        <w:t xml:space="preserve">3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  <w:t xml:space="preserve">(650 : 18,9 = 34).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  <w:t>Таким образом, предлагается: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position w:val="0"/>
          <w:sz w:val="28"/>
          <w:sz w:val="28"/>
          <w:szCs w:val="28"/>
          <w:shd w:fill="auto" w:val="clear"/>
          <w:vertAlign w:val="baseline"/>
        </w:rPr>
        <w:t xml:space="preserve">- определять налоговую базу налога на добычу неметаллического сырья, используемого в основном в строительной индустрии, в части общераспространенных полезных ископаемых, добываемых на участках недр местного значения, как количество добытых полезных ископаемых в натуральном выражении (в кубических метрах). Данное положение применяется в отношении общераспространенных полезных ископаемых, налог на добычу которых зачисляется в бюджет субъекта Российской Федерации по нормативу 100%; </w:t>
      </w:r>
    </w:p>
    <w:p>
      <w:pPr>
        <w:pStyle w:val="1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szCs w:val="28"/>
        </w:rPr>
        <w:t xml:space="preserve">- установить налоговую ставку в размере  34 рубля за 1 кубический метр, рассчитанную исходя из средней цены реализации </w:t>
      </w:r>
      <w:r>
        <w:rPr>
          <w:rStyle w:val="fontstyle01"/>
        </w:rPr>
        <w:t>общераспространенных</w:t>
      </w:r>
      <w:r>
        <w:rPr>
          <w:szCs w:val="28"/>
        </w:rPr>
        <w:t xml:space="preserve"> полезных ископаемых за 2023 год на основании официальных данных Федеральной службы государственной статистики в целом по Российской Федераци</w:t>
      </w:r>
      <w:r>
        <w:rPr>
          <w:rFonts w:eastAsia="Calibri" w:cs="" w:ascii="Calibri" w:hAnsi="Calibri" w:asciiTheme="minorHAnsi" w:cstheme="minorBidi" w:eastAsiaTheme="minorHAnsi" w:hAnsiTheme="minorHAnsi"/>
          <w:szCs w:val="28"/>
          <w:shd w:fill="auto" w:val="clear"/>
        </w:rPr>
        <w:t>и;</w:t>
      </w:r>
    </w:p>
    <w:p>
      <w:pPr>
        <w:pStyle w:val="1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/>
        <w:t xml:space="preserve">- </w:t>
      </w:r>
      <w:r>
        <w:rPr>
          <w:szCs w:val="28"/>
        </w:rPr>
        <w:t>предоставить субъектам право уменьшать или увеличивать указанную базовую ставку, но не более чем в десять раз,  в зависимости от вида полезного ископаемого,  условий  его  добычи и сложившихся цен реализации  в регионе.</w:t>
      </w:r>
    </w:p>
    <w:p>
      <w:pPr>
        <w:pStyle w:val="1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При предоставлении права субъектам увеличивать/уменьшать базовую ставку налога от 3,4 до 340 руб./м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>3</w:t>
      </w: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, следует опираться на фактические данные регионов</w:t>
        <w:br/>
        <w:t>об объемах, сложности, дополнительных затратах при осуществлении добычи ОПИ, а также сложившихся в данных  субъектах Российской Федерации ценах реализации полезных ископаемых. Разброс цен на полезные ископаемые от 62 до 6200 руб./м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>3</w:t>
      </w: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 xml:space="preserve"> позволит охватить все варианты стоимости ОПИ для расчета НДПИ на территории Российской Федерации.</w:t>
      </w:r>
    </w:p>
    <w:p>
      <w:pPr>
        <w:pStyle w:val="1"/>
        <w:widowControl/>
        <w:suppressAutoHyphens w:val="true"/>
        <w:bidi w:val="0"/>
        <w:spacing w:lineRule="auto" w:line="240"/>
        <w:ind w:firstLine="680" w:left="0" w:right="0"/>
        <w:jc w:val="both"/>
        <w:rPr/>
      </w:pPr>
      <w:r>
        <w:rPr>
          <w:rFonts w:eastAsia="Calibri" w:cs="Times New Roman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Учитывая вышеизложенное, принятие данного законопроекта приведет</w:t>
        <w:br/>
        <w:t>к дополн</w:t>
      </w:r>
      <w:r>
        <w:rPr>
          <w:rFonts w:eastAsia="Calibri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ительным доходам бюджета Республики Татарстан исходя из объемов добычи за 2023 год и предлагаемой базовой ставки порядка 500 млн рублей.</w:t>
      </w:r>
    </w:p>
    <w:p>
      <w:pPr>
        <w:pStyle w:val="1"/>
        <w:widowControl/>
        <w:suppressAutoHyphens w:val="true"/>
        <w:bidi w:val="0"/>
        <w:spacing w:lineRule="auto" w:line="240"/>
        <w:ind w:firstLine="680" w:left="0" w:right="0"/>
        <w:jc w:val="both"/>
        <w:rPr>
          <w:rFonts w:eastAsia="Calibri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</w:pPr>
      <w:r>
        <w:rPr>
          <w:rFonts w:eastAsia="Calibri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  <w:t>Принятие и реализация положений законопроекта также окажет положительное влияние по доходную часть  бюджетов  других субъектов Российской Федерации.</w:t>
      </w:r>
    </w:p>
    <w:p>
      <w:pPr>
        <w:pStyle w:val="1"/>
        <w:widowControl/>
        <w:suppressAutoHyphens w:val="true"/>
        <w:bidi w:val="0"/>
        <w:spacing w:lineRule="auto" w:line="240"/>
        <w:ind w:firstLine="680" w:left="0" w:right="0"/>
        <w:jc w:val="both"/>
        <w:rPr>
          <w:rFonts w:eastAsia="Calibri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</w:pPr>
      <w:r>
        <w:rPr>
          <w:rFonts w:eastAsia="Calibri"/>
          <w:color w:val="000000"/>
          <w:kern w:val="0"/>
          <w:position w:val="0"/>
          <w:sz w:val="28"/>
          <w:sz w:val="28"/>
          <w:szCs w:val="28"/>
          <w:shd w:fill="auto" w:val="clear"/>
          <w:vertAlign w:val="baseline"/>
          <w:lang w:val="ru-RU" w:eastAsia="en-US" w:bidi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7562558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01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42014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fontstyle01">
    <w:name w:val="fontstyle01"/>
    <w:basedOn w:val="DefaultParagraphFont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420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Ñòèëü1"/>
    <w:basedOn w:val="Normal"/>
    <w:qFormat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3219&amp;dst=10343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LibreOffice/24.8.4.2$Linux_X86_64 LibreOffice_project/480$Build-2</Application>
  <AppVersion>15.0000</AppVersion>
  <Pages>2</Pages>
  <Words>513</Words>
  <Characters>3373</Characters>
  <CharactersWithSpaces>3884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2024-02-15T10:53:00Z</dcterms:created>
  <dc:creator>Kazanceva</dc:creator>
  <dc:description/>
  <dc:language>ru-RU</dc:language>
  <cp:lastModifiedBy/>
  <dcterms:modified xsi:type="dcterms:W3CDTF">2025-05-14T16:10:51Z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