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26" w:rsidRDefault="00572B26" w:rsidP="00572B2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«Халыкны һәм территорияләрне гадәттән тыш хәлләрдән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яклау турында» Татарстан Республикасы Законын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а 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» Татарстан Республикасы законы проектына </w:t>
      </w:r>
    </w:p>
    <w:p w:rsidR="005F6010" w:rsidRPr="00572B26" w:rsidRDefault="00572B26" w:rsidP="005F6010">
      <w:pPr>
        <w:pStyle w:val="11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АҢЛАТМА</w:t>
      </w:r>
    </w:p>
    <w:p w:rsidR="00971F19" w:rsidRPr="00885D34" w:rsidRDefault="00971F19" w:rsidP="00971F19">
      <w:pPr>
        <w:pStyle w:val="11"/>
        <w:rPr>
          <w:rFonts w:ascii="Times New Roman" w:hAnsi="Times New Roman"/>
          <w:b/>
          <w:sz w:val="28"/>
          <w:szCs w:val="28"/>
          <w:lang w:val="tt-RU"/>
        </w:rPr>
      </w:pPr>
    </w:p>
    <w:p w:rsidR="00885D34" w:rsidRPr="00885D34" w:rsidRDefault="00885D34" w:rsidP="00885D3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885D34">
        <w:rPr>
          <w:rFonts w:ascii="Times New Roman" w:hAnsi="Times New Roman" w:cs="Times New Roman"/>
          <w:sz w:val="28"/>
          <w:szCs w:val="28"/>
          <w:lang w:val="tt-RU"/>
        </w:rPr>
        <w:t>«Халыкны һәм территорияләрне гадәттән тыш хәлләрдән</w:t>
      </w:r>
      <w:r w:rsidRPr="00885D3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885D34">
        <w:rPr>
          <w:rFonts w:ascii="Times New Roman" w:hAnsi="Times New Roman" w:cs="Times New Roman"/>
          <w:sz w:val="28"/>
          <w:szCs w:val="28"/>
          <w:lang w:val="tt-RU"/>
        </w:rPr>
        <w:t xml:space="preserve">яклау турында» Татарстан Республикасы Законына </w:t>
      </w:r>
      <w:r w:rsidRPr="00885D34">
        <w:rPr>
          <w:rFonts w:ascii="Times New Roman" w:hAnsi="Times New Roman" w:cs="Times New Roman"/>
          <w:bCs/>
          <w:sz w:val="28"/>
          <w:szCs w:val="28"/>
          <w:lang w:val="tt-RU"/>
        </w:rPr>
        <w:t>үзгәрешләр кертү хакында» Татарста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н Республикасы законы проекты (алга таба – закон проекты) Татарстан Республикасы законнарын федераль законнарга туры китерү максатларында эшләнде.</w:t>
      </w:r>
    </w:p>
    <w:p w:rsidR="00885D34" w:rsidRDefault="00885D34" w:rsidP="005F601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85D34">
        <w:rPr>
          <w:rFonts w:ascii="Times New Roman" w:hAnsi="Times New Roman"/>
          <w:bCs/>
          <w:sz w:val="28"/>
          <w:szCs w:val="28"/>
          <w:lang w:val="tt-RU" w:eastAsia="ru-RU"/>
        </w:rPr>
        <w:t xml:space="preserve">«Халыкны һәм территорияләрне табигый һәм техноген характердагы гадәттән тыш хәлләрдән яклау турында»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Федераль законга һәм «Янгын куркынычсызлыгы турында» Федераль законның 16 һәм 18 статьяларына үзгәрешләр кертү хакында» 2024 елның 29 маендагы Федераль закон белән, аерым алганда, </w:t>
      </w:r>
      <w:r w:rsidRPr="00885D34">
        <w:rPr>
          <w:rFonts w:ascii="Times New Roman" w:hAnsi="Times New Roman"/>
          <w:bCs/>
          <w:sz w:val="28"/>
          <w:szCs w:val="28"/>
          <w:lang w:val="tt-RU" w:eastAsia="ru-RU"/>
        </w:rPr>
        <w:t>«Халыкны һәм территорияләрне табигый һәм техноген характердагы гадәттән тыш хәлләрдән яклау турында» 1994 елның 21 декабрендәг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е 68-ФЗ номерлы Федераль законның (алга таба– 68-ФЗ номерлы Федераль закон) х</w:t>
      </w:r>
      <w:r w:rsidRPr="00885D34">
        <w:rPr>
          <w:rFonts w:ascii="Times New Roman" w:hAnsi="Times New Roman"/>
          <w:bCs/>
          <w:sz w:val="28"/>
          <w:szCs w:val="28"/>
          <w:lang w:val="tt-RU" w:eastAsia="ru-RU"/>
        </w:rPr>
        <w:t>алыкны һәм территорияләрне гадәттән тыш хәлләрдән яклау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ның төп</w:t>
      </w:r>
      <w:r w:rsidRPr="00885D34">
        <w:rPr>
          <w:rFonts w:ascii="Times New Roman" w:hAnsi="Times New Roman"/>
          <w:bCs/>
          <w:sz w:val="28"/>
          <w:szCs w:val="28"/>
          <w:lang w:val="tt-RU" w:eastAsia="ru-RU"/>
        </w:rPr>
        <w:t xml:space="preserve"> принциплары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н регламентлаштыра торган</w:t>
      </w:r>
      <w:r w:rsidRPr="00885D34">
        <w:rPr>
          <w:rFonts w:ascii="Times New Roman" w:hAnsi="Times New Roman"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7 статьясына </w:t>
      </w:r>
      <w:r w:rsidR="00103DF7" w:rsidRPr="00273ADE">
        <w:rPr>
          <w:rFonts w:ascii="Times New Roman" w:hAnsi="Times New Roman"/>
          <w:sz w:val="28"/>
          <w:szCs w:val="28"/>
          <w:lang w:val="tt-RU"/>
        </w:rPr>
        <w:t>гадәттән тыш хәлләр барлыкка килү куркынычы булганда яисә барлыкка килгәндә халыкны һәм территорияләрне гадәттән тыш хәл</w:t>
      </w:r>
      <w:r w:rsidR="00103DF7">
        <w:rPr>
          <w:rFonts w:ascii="Times New Roman" w:hAnsi="Times New Roman"/>
          <w:sz w:val="28"/>
          <w:szCs w:val="28"/>
          <w:lang w:val="tt-RU"/>
        </w:rPr>
        <w:t>ләр</w:t>
      </w:r>
      <w:r w:rsidR="00103DF7" w:rsidRPr="00273ADE">
        <w:rPr>
          <w:rFonts w:ascii="Times New Roman" w:hAnsi="Times New Roman"/>
          <w:sz w:val="28"/>
          <w:szCs w:val="28"/>
          <w:lang w:val="tt-RU"/>
        </w:rPr>
        <w:t>дән яклау</w:t>
      </w:r>
      <w:r w:rsidR="00103DF7">
        <w:rPr>
          <w:rFonts w:ascii="Times New Roman" w:hAnsi="Times New Roman"/>
          <w:sz w:val="28"/>
          <w:szCs w:val="28"/>
          <w:lang w:val="tt-RU"/>
        </w:rPr>
        <w:t xml:space="preserve"> чараларын үткәрүнең гадәттән тыш хәлләрне кисәтү һәм бетерү буенча гамәлләр планнары нигезендә гамәлгә ашырылуын билгели торган үзгәреш кертелгән.</w:t>
      </w:r>
    </w:p>
    <w:p w:rsidR="00103DF7" w:rsidRDefault="00103DF7" w:rsidP="005F601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Шулай ук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68-ФЗ номерлы Федераль законның аерым нигезләмәләренә алардан </w:t>
      </w:r>
      <w:r w:rsidRPr="00873110">
        <w:rPr>
          <w:rFonts w:ascii="Times New Roman" w:hAnsi="Times New Roman"/>
          <w:sz w:val="28"/>
          <w:szCs w:val="28"/>
          <w:lang w:val="tt-RU"/>
        </w:rPr>
        <w:t xml:space="preserve">«табигый һәм техноген характердагы» </w:t>
      </w:r>
      <w:r>
        <w:rPr>
          <w:rFonts w:ascii="Times New Roman" w:hAnsi="Times New Roman"/>
          <w:sz w:val="28"/>
          <w:szCs w:val="28"/>
          <w:lang w:val="tt-RU"/>
        </w:rPr>
        <w:t>сүзләрен төшереп калдырыру өлешендә үзгәрешләр кертелгән.</w:t>
      </w:r>
    </w:p>
    <w:p w:rsidR="00103DF7" w:rsidRPr="00885D34" w:rsidRDefault="00103DF7" w:rsidP="005F6010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68-ФЗ номерлы </w:t>
      </w:r>
      <w:r>
        <w:rPr>
          <w:rFonts w:ascii="Times New Roman" w:hAnsi="Times New Roman"/>
          <w:sz w:val="28"/>
          <w:szCs w:val="28"/>
          <w:lang w:val="tt-RU"/>
        </w:rPr>
        <w:t>Федераль закон 2024 елның 26 ноябрендә үз көченә кергән.</w:t>
      </w:r>
    </w:p>
    <w:p w:rsidR="00885D34" w:rsidRDefault="00103DF7" w:rsidP="00A1677E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Шулай итеп, закон проектында </w:t>
      </w:r>
      <w:r w:rsidRPr="00CC77F5">
        <w:rPr>
          <w:rFonts w:ascii="Times New Roman" w:hAnsi="Times New Roman"/>
          <w:sz w:val="28"/>
          <w:szCs w:val="28"/>
          <w:lang w:val="tt-RU"/>
        </w:rPr>
        <w:t>«Халыкны һәм территорияләрне гадәттән тыш хәлләрдән яклау турында» 2004 ел</w:t>
      </w:r>
      <w:r w:rsidRPr="00CC77F5">
        <w:rPr>
          <w:rFonts w:ascii="Times New Roman" w:hAnsi="Times New Roman"/>
          <w:spacing w:val="-2"/>
          <w:sz w:val="28"/>
          <w:szCs w:val="28"/>
          <w:lang w:val="tt-RU"/>
        </w:rPr>
        <w:t>ның</w:t>
      </w:r>
      <w:r w:rsidRPr="00CC77F5">
        <w:rPr>
          <w:rFonts w:ascii="Times New Roman" w:hAnsi="Times New Roman"/>
          <w:sz w:val="28"/>
          <w:szCs w:val="28"/>
          <w:lang w:val="tt-RU"/>
        </w:rPr>
        <w:t xml:space="preserve"> 8 декабрендәге 62-ТРЗ номерлы Татарстан Республикасы Законының </w:t>
      </w:r>
      <w:r>
        <w:rPr>
          <w:rFonts w:ascii="Times New Roman" w:hAnsi="Times New Roman"/>
          <w:sz w:val="28"/>
          <w:szCs w:val="28"/>
          <w:lang w:val="tt-RU"/>
        </w:rPr>
        <w:t xml:space="preserve">(алга таба – 62-ТРЗ номерлы Закон) 1 статьясындагы ундүртенче абзацына һәм </w:t>
      </w:r>
      <w:r w:rsidRPr="00CC77F5"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  <w:lang w:val="tt-RU"/>
        </w:rPr>
        <w:t> статьясындагы беренче өлешенең уналтынчы абзацына, «</w:t>
      </w:r>
      <w:r w:rsidRPr="00873110">
        <w:rPr>
          <w:rFonts w:ascii="Times New Roman" w:hAnsi="Times New Roman"/>
          <w:sz w:val="28"/>
          <w:szCs w:val="28"/>
          <w:lang w:val="tt-RU"/>
        </w:rPr>
        <w:t xml:space="preserve">табигый һәм техноген характердагы» </w:t>
      </w:r>
      <w:r>
        <w:rPr>
          <w:rFonts w:ascii="Times New Roman" w:hAnsi="Times New Roman"/>
          <w:sz w:val="28"/>
          <w:szCs w:val="28"/>
          <w:lang w:val="tt-RU"/>
        </w:rPr>
        <w:t>сүзләрен төшереп калдырып, үзгәрешләр кертү тәкъдим ителә.</w:t>
      </w:r>
    </w:p>
    <w:p w:rsidR="00922DB3" w:rsidRDefault="00922DB3" w:rsidP="004847E9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Закон проектында берүк вакытта </w:t>
      </w:r>
      <w:r w:rsidR="004847E9">
        <w:rPr>
          <w:rFonts w:ascii="Times New Roman" w:hAnsi="Times New Roman"/>
          <w:sz w:val="28"/>
          <w:szCs w:val="28"/>
          <w:lang w:val="tt-RU"/>
        </w:rPr>
        <w:t>62-ТРЗ номерлы Закон</w:t>
      </w:r>
      <w:r w:rsidR="004847E9">
        <w:rPr>
          <w:rFonts w:ascii="Times New Roman" w:hAnsi="Times New Roman"/>
          <w:bCs/>
          <w:sz w:val="28"/>
          <w:szCs w:val="28"/>
          <w:lang w:val="tt-RU" w:eastAsia="ru-RU"/>
        </w:rPr>
        <w:t>ның</w:t>
      </w:r>
      <w:r w:rsidR="004847E9">
        <w:rPr>
          <w:rFonts w:ascii="Times New Roman" w:hAnsi="Times New Roman"/>
          <w:sz w:val="28"/>
          <w:szCs w:val="28"/>
          <w:lang w:val="tt-RU"/>
        </w:rPr>
        <w:t xml:space="preserve"> 4 статьясына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 xml:space="preserve"> х</w:t>
      </w:r>
      <w:r w:rsidRPr="00922DB3">
        <w:rPr>
          <w:rFonts w:ascii="Times New Roman" w:hAnsi="Times New Roman"/>
          <w:sz w:val="28"/>
          <w:szCs w:val="28"/>
          <w:lang w:val="tt-RU"/>
        </w:rPr>
        <w:t>алыкны һәм территорияләрне гадәттән тыш хәлләрдән яклау</w:t>
      </w:r>
      <w:r>
        <w:rPr>
          <w:rFonts w:ascii="Times New Roman" w:hAnsi="Times New Roman"/>
          <w:sz w:val="28"/>
          <w:szCs w:val="28"/>
          <w:lang w:val="tt-RU"/>
        </w:rPr>
        <w:t>ның</w:t>
      </w:r>
      <w:r w:rsidRPr="00922DB3">
        <w:rPr>
          <w:rFonts w:ascii="Times New Roman" w:hAnsi="Times New Roman"/>
          <w:sz w:val="28"/>
          <w:szCs w:val="28"/>
          <w:lang w:val="tt-RU"/>
        </w:rPr>
        <w:t>, шул исәптән су объектларында кешеләрнең иминлеген тәэмин итү</w:t>
      </w:r>
      <w:r>
        <w:rPr>
          <w:rFonts w:ascii="Times New Roman" w:hAnsi="Times New Roman"/>
          <w:sz w:val="28"/>
          <w:szCs w:val="28"/>
          <w:lang w:val="tt-RU"/>
        </w:rPr>
        <w:t>нең,</w:t>
      </w:r>
      <w:r w:rsidRPr="00922DB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273ADE">
        <w:rPr>
          <w:rFonts w:ascii="Times New Roman" w:hAnsi="Times New Roman"/>
          <w:sz w:val="28"/>
          <w:szCs w:val="28"/>
          <w:lang w:val="tt-RU"/>
        </w:rPr>
        <w:t xml:space="preserve">гадәттән тыш хәлләр барлыкка килү куркынычы булганда яисә барлыкка килгәндә </w:t>
      </w:r>
      <w:r>
        <w:rPr>
          <w:rFonts w:ascii="Times New Roman" w:hAnsi="Times New Roman"/>
          <w:sz w:val="28"/>
          <w:szCs w:val="28"/>
          <w:lang w:val="tt-RU"/>
        </w:rPr>
        <w:t xml:space="preserve">гадәттән тыш хәлләрне кисәтү һәм бетерү буенча гамәлләр планнары нигезендә гамәлгә ашырыла торган </w:t>
      </w:r>
      <w:r w:rsidRPr="00273ADE">
        <w:rPr>
          <w:rFonts w:ascii="Times New Roman" w:hAnsi="Times New Roman"/>
          <w:sz w:val="28"/>
          <w:szCs w:val="28"/>
          <w:lang w:val="tt-RU"/>
        </w:rPr>
        <w:t>халыкны һәм территорияләрне гадәттән тыш хәл</w:t>
      </w:r>
      <w:r>
        <w:rPr>
          <w:rFonts w:ascii="Times New Roman" w:hAnsi="Times New Roman"/>
          <w:sz w:val="28"/>
          <w:szCs w:val="28"/>
          <w:lang w:val="tt-RU"/>
        </w:rPr>
        <w:t>ләр</w:t>
      </w:r>
      <w:r w:rsidRPr="00273ADE">
        <w:rPr>
          <w:rFonts w:ascii="Times New Roman" w:hAnsi="Times New Roman"/>
          <w:sz w:val="28"/>
          <w:szCs w:val="28"/>
          <w:lang w:val="tt-RU"/>
        </w:rPr>
        <w:t>дән яклау</w:t>
      </w:r>
      <w:r>
        <w:rPr>
          <w:rFonts w:ascii="Times New Roman" w:hAnsi="Times New Roman"/>
          <w:sz w:val="28"/>
          <w:szCs w:val="28"/>
          <w:lang w:val="tt-RU"/>
        </w:rPr>
        <w:t xml:space="preserve"> чараларын үткәрү дигән төп принциплары нигезендә гамәлгә ашырылуын күз алдында тоткан бишенче абзаң өстәргә тәкъдим ителә.</w:t>
      </w:r>
    </w:p>
    <w:p w:rsidR="00922DB3" w:rsidRDefault="00922DB3" w:rsidP="00A1677E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Закон проектын кабул итү һәм аның нигезләмәләрен гамәлгә ашыру, федераль законнар нормаларына туры китереп, законнарны камилләштерү һәм 62-ТРЗ номерлы Закон нигезләмәләрен</w:t>
      </w:r>
      <w:r w:rsidR="00637F3F">
        <w:rPr>
          <w:rFonts w:ascii="Times New Roman" w:hAnsi="Times New Roman"/>
          <w:sz w:val="28"/>
          <w:szCs w:val="28"/>
          <w:lang w:val="tt-RU"/>
        </w:rPr>
        <w:t xml:space="preserve"> актуальләштерү өчен нигез була.</w:t>
      </w:r>
    </w:p>
    <w:p w:rsidR="00922DB3" w:rsidRPr="00885D34" w:rsidRDefault="00922DB3" w:rsidP="00A1677E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  <w:lang w:val="tt-RU" w:eastAsia="ru-RU"/>
        </w:rPr>
      </w:pPr>
    </w:p>
    <w:p w:rsidR="00DD3A76" w:rsidRPr="004847E9" w:rsidRDefault="00DD3A76" w:rsidP="000C6845">
      <w:pPr>
        <w:pStyle w:val="a4"/>
        <w:ind w:firstLine="708"/>
        <w:jc w:val="both"/>
        <w:rPr>
          <w:sz w:val="28"/>
          <w:szCs w:val="28"/>
          <w:lang w:val="tt-RU"/>
        </w:rPr>
      </w:pPr>
    </w:p>
    <w:p w:rsidR="0062386C" w:rsidRPr="004847E9" w:rsidRDefault="0062386C" w:rsidP="00486243">
      <w:pPr>
        <w:pStyle w:val="11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62386C" w:rsidRPr="004847E9" w:rsidSect="00104D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46287"/>
    <w:multiLevelType w:val="hybridMultilevel"/>
    <w:tmpl w:val="B4C8EE4E"/>
    <w:lvl w:ilvl="0" w:tplc="B6B24B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01BB1"/>
    <w:rsid w:val="00037B6A"/>
    <w:rsid w:val="00057849"/>
    <w:rsid w:val="000A1BF5"/>
    <w:rsid w:val="000A4913"/>
    <w:rsid w:val="000C3ECA"/>
    <w:rsid w:val="000C6845"/>
    <w:rsid w:val="000D302B"/>
    <w:rsid w:val="000E7797"/>
    <w:rsid w:val="00101BB1"/>
    <w:rsid w:val="00103DF7"/>
    <w:rsid w:val="00104DAA"/>
    <w:rsid w:val="0010789D"/>
    <w:rsid w:val="00114A74"/>
    <w:rsid w:val="00125A54"/>
    <w:rsid w:val="00194D3C"/>
    <w:rsid w:val="001B7A75"/>
    <w:rsid w:val="00203165"/>
    <w:rsid w:val="00217B61"/>
    <w:rsid w:val="00217E05"/>
    <w:rsid w:val="00233025"/>
    <w:rsid w:val="00237931"/>
    <w:rsid w:val="0028170D"/>
    <w:rsid w:val="002B21DD"/>
    <w:rsid w:val="002C6836"/>
    <w:rsid w:val="00326AF9"/>
    <w:rsid w:val="0035181E"/>
    <w:rsid w:val="00356AEA"/>
    <w:rsid w:val="00366A5D"/>
    <w:rsid w:val="003756FF"/>
    <w:rsid w:val="0039526E"/>
    <w:rsid w:val="003C5542"/>
    <w:rsid w:val="003C6ECD"/>
    <w:rsid w:val="003D1C95"/>
    <w:rsid w:val="003E3B37"/>
    <w:rsid w:val="00404960"/>
    <w:rsid w:val="00405D5E"/>
    <w:rsid w:val="00416C2E"/>
    <w:rsid w:val="0043466F"/>
    <w:rsid w:val="0046467E"/>
    <w:rsid w:val="00476424"/>
    <w:rsid w:val="00480922"/>
    <w:rsid w:val="004825DD"/>
    <w:rsid w:val="004847E9"/>
    <w:rsid w:val="00486243"/>
    <w:rsid w:val="004A3AAD"/>
    <w:rsid w:val="004C54BB"/>
    <w:rsid w:val="004D3512"/>
    <w:rsid w:val="004E28CA"/>
    <w:rsid w:val="004F58F7"/>
    <w:rsid w:val="00555D38"/>
    <w:rsid w:val="00572B26"/>
    <w:rsid w:val="00581616"/>
    <w:rsid w:val="005A29AA"/>
    <w:rsid w:val="005C4AC9"/>
    <w:rsid w:val="005D0EAA"/>
    <w:rsid w:val="005F6010"/>
    <w:rsid w:val="0061213A"/>
    <w:rsid w:val="0062386C"/>
    <w:rsid w:val="00637F3F"/>
    <w:rsid w:val="00641E6A"/>
    <w:rsid w:val="006973B6"/>
    <w:rsid w:val="006B60A3"/>
    <w:rsid w:val="00700CC6"/>
    <w:rsid w:val="00714738"/>
    <w:rsid w:val="00721B60"/>
    <w:rsid w:val="00761811"/>
    <w:rsid w:val="0078567E"/>
    <w:rsid w:val="0079110A"/>
    <w:rsid w:val="007A2011"/>
    <w:rsid w:val="007D2F13"/>
    <w:rsid w:val="00845A5C"/>
    <w:rsid w:val="00861412"/>
    <w:rsid w:val="008839E3"/>
    <w:rsid w:val="00885D34"/>
    <w:rsid w:val="008900B7"/>
    <w:rsid w:val="00890802"/>
    <w:rsid w:val="008B1337"/>
    <w:rsid w:val="008C7E3D"/>
    <w:rsid w:val="008E3209"/>
    <w:rsid w:val="009171A8"/>
    <w:rsid w:val="00922DB3"/>
    <w:rsid w:val="009266B4"/>
    <w:rsid w:val="009303FA"/>
    <w:rsid w:val="00935138"/>
    <w:rsid w:val="00971F19"/>
    <w:rsid w:val="009C1D5E"/>
    <w:rsid w:val="009D2259"/>
    <w:rsid w:val="00A01299"/>
    <w:rsid w:val="00A02FD7"/>
    <w:rsid w:val="00A1677E"/>
    <w:rsid w:val="00A83001"/>
    <w:rsid w:val="00AA4624"/>
    <w:rsid w:val="00AB63B6"/>
    <w:rsid w:val="00AF547C"/>
    <w:rsid w:val="00B06C1D"/>
    <w:rsid w:val="00B30F43"/>
    <w:rsid w:val="00B45D33"/>
    <w:rsid w:val="00B73396"/>
    <w:rsid w:val="00B75F45"/>
    <w:rsid w:val="00B81A5F"/>
    <w:rsid w:val="00B91143"/>
    <w:rsid w:val="00BA0CCE"/>
    <w:rsid w:val="00BE6283"/>
    <w:rsid w:val="00BF5A10"/>
    <w:rsid w:val="00BF632C"/>
    <w:rsid w:val="00C028F2"/>
    <w:rsid w:val="00C40273"/>
    <w:rsid w:val="00C75924"/>
    <w:rsid w:val="00C95910"/>
    <w:rsid w:val="00CB5ECF"/>
    <w:rsid w:val="00CB7C1F"/>
    <w:rsid w:val="00CC0E37"/>
    <w:rsid w:val="00CF0649"/>
    <w:rsid w:val="00D00179"/>
    <w:rsid w:val="00D1777D"/>
    <w:rsid w:val="00D5274D"/>
    <w:rsid w:val="00D91059"/>
    <w:rsid w:val="00DA2D70"/>
    <w:rsid w:val="00DB0CEB"/>
    <w:rsid w:val="00DD06C0"/>
    <w:rsid w:val="00DD3A76"/>
    <w:rsid w:val="00E23A08"/>
    <w:rsid w:val="00E30307"/>
    <w:rsid w:val="00EA1820"/>
    <w:rsid w:val="00EA1966"/>
    <w:rsid w:val="00EB0004"/>
    <w:rsid w:val="00EF3D34"/>
    <w:rsid w:val="00EF5C4B"/>
    <w:rsid w:val="00F00DE8"/>
    <w:rsid w:val="00F06390"/>
    <w:rsid w:val="00F2658E"/>
    <w:rsid w:val="00F400BE"/>
    <w:rsid w:val="00F64DFC"/>
    <w:rsid w:val="00F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B437"/>
  <w15:docId w15:val="{47136864-4C5B-4928-9051-6D1E9F56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B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26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101BB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35138"/>
    <w:pPr>
      <w:ind w:left="720"/>
      <w:contextualSpacing/>
    </w:pPr>
  </w:style>
  <w:style w:type="paragraph" w:customStyle="1" w:styleId="ConsPlusTitlePage">
    <w:name w:val="ConsPlusTitlePage"/>
    <w:rsid w:val="00EA1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A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BE6283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6B60A3"/>
    <w:rPr>
      <w:color w:val="0000FF"/>
      <w:u w:val="single"/>
    </w:rPr>
  </w:style>
  <w:style w:type="character" w:customStyle="1" w:styleId="searchresult">
    <w:name w:val="search_result"/>
    <w:basedOn w:val="a0"/>
    <w:rsid w:val="00C40273"/>
  </w:style>
  <w:style w:type="character" w:customStyle="1" w:styleId="2">
    <w:name w:val="Заголовок №2_"/>
    <w:link w:val="20"/>
    <w:uiPriority w:val="99"/>
    <w:locked/>
    <w:rsid w:val="00F06390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06390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shd w:val="clear" w:color="auto" w:fill="FFFFFF"/>
      <w:lang w:eastAsia="en-US"/>
    </w:rPr>
  </w:style>
  <w:style w:type="paragraph" w:styleId="a7">
    <w:name w:val="Normal (Web)"/>
    <w:basedOn w:val="a"/>
    <w:uiPriority w:val="99"/>
    <w:semiHidden/>
    <w:unhideWhenUsed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13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572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7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8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02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A438B-CA25-4AB4-B26D-870689A6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Artur Azatovich</cp:lastModifiedBy>
  <cp:revision>3</cp:revision>
  <cp:lastPrinted>2025-08-19T07:36:00Z</cp:lastPrinted>
  <dcterms:created xsi:type="dcterms:W3CDTF">2025-08-25T06:07:00Z</dcterms:created>
  <dcterms:modified xsi:type="dcterms:W3CDTF">2025-08-25T06:09:00Z</dcterms:modified>
</cp:coreProperties>
</file>