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left="7371" w:firstLine="0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проект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left="7371" w:firstLine="0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left="7143" w:right="0" w:firstLine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Татарстан Республикасы Министрлар Кабинеты тарафыннан кертелә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rPr>
          <w:rFonts w:ascii="Times New Roman" w:hAnsi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/>
          <w:color w:val="auto"/>
          <w:sz w:val="28"/>
          <w:szCs w:val="28"/>
          <w:lang w:val="tt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ТАТАРСТАН РЕСПУБЛИКАСЫ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ЗАКОНЫ</w:t>
      </w:r>
    </w:p>
    <w:p>
      <w:pPr>
        <w:pStyle w:val="ConsPlusTitle"/>
        <w:keepNext w:val="0"/>
        <w:keepLines w:val="0"/>
        <w:pageBreakBefore w:val="0"/>
        <w:widowControl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  <w:shd w:val="clear" w:fill="auto"/>
          <w:lang w:val="tt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fill="auto"/>
          <w:lang w:val="tt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right="142" w:firstLine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«Транспорт салымы турында» Татарстан Республикасы Законының</w:t>
        <w:br/>
        <w:t xml:space="preserve">6 статьясына һәм  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</w:t>
        <w:br/>
        <w:t xml:space="preserve">Лаеш муниципаль районнары территорияләрендә төзелгән «Иннополис» техник - гамәлгә кертү тибындагы махсус икътисадый зонасы оешмалары-резидентлары өчен табышка салым буенча салым ставкасын билгеләү турында </w:t>
      </w:r>
    </w:p>
    <w:p>
      <w:pPr>
        <w:pStyle w:val="ConsPlusTitle"/>
        <w:keepNext w:val="0"/>
        <w:keepLines w:val="0"/>
        <w:pageBreakBefore w:val="0"/>
        <w:widowControl/>
        <w:numPr>
          <w:numId w:val="0"/>
          <w:ilvl w:val="0"/>
        </w:numPr>
        <w:spacing w:before="0"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 w:val="0"/>
          <w:color w:val="auto"/>
          <w:sz w:val="28"/>
          <w:szCs w:val="28"/>
          <w:highlight w:val="none"/>
          <w:shd w:val="clear" w:fill="auto"/>
          <w:lang w:val="tt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fill="auto"/>
          <w:lang w:val="tt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fill="auto"/>
          <w:lang w:val="tt-RU" w:eastAsia="ru-RU"/>
        </w:rPr>
        <w:t xml:space="preserve">1 статья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fill="auto"/>
          <w:lang w:val="tt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fill="auto"/>
          <w:lang w:val="tt-RU" w:eastAsia="ru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«Транспорт салымы турында» 2002 елның 29 ноябрендәге 24-ТРЗ номерлы Татарстан Республикасы Законының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6 статьяның 3 пунктындагы икенче абзацына 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(</w:t>
      </w:r>
      <w:r>
        <w:rPr>
          <w:rFonts w:ascii="Times New Roman" w:hAnsi="Times New Roman" w:eastAsia="Calibri" w:cs="Times New Roman" w:eastAsiaTheme="minorHAnsi"/>
          <w:bCs/>
          <w:color w:val="auto"/>
          <w:sz w:val="28"/>
          <w:szCs w:val="28"/>
          <w:lang w:val="tt-RU" w:eastAsia="en-US"/>
        </w:rPr>
        <w:t xml:space="preserve">Татарстан Дәүләт Советы Җыелма басмасы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, 2002, № 11; 2003, № 7, № 11; 2004,</w:t>
        <w:br/>
        <w:t xml:space="preserve">№ 11; 2005, № 11; 2006, № 2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), № 4; 2008, № 7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2009, № 11; 2010,</w:t>
        <w:br/>
        <w:t xml:space="preserve">№ 10 (II өлеш); 2014, № 3, № 6, № 11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Татарстан Республикасы законнары җыелмасы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, 2017, № 1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2018, № 83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2020, № 1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2021, № 20</w:t>
        <w:br/>
        <w:t xml:space="preserve">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), № 36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), № 77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2022, № 83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); 2023, № 73 (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I өлеш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/>
        </w:rPr>
        <w:t xml:space="preserve">),</w:t>
        <w:br/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аны түбәндәге редакциядә бәян итеп, үзгәреш кертергә: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«</w:t>
      </w:r>
      <w:r>
        <w:rPr>
          <w:rFonts w:ascii="Times New Roman" w:hAnsi="Times New Roman" w:eastAsia="Helvetica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tt-RU" w:eastAsia="zh-CN" w:bidi="ar-SA"/>
        </w:rPr>
        <w:t xml:space="preserve">Татарстан Республикасының Алабуга районы территориясендә төзелгән сәнәгать-җитештерү тибындагы махсус икътисадый зонасы,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һәм Татарстан Республикасының Зәй районы территориясендә төзелгән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«Зеленая Долина» </w:t>
      </w:r>
      <w:r>
        <w:rPr>
          <w:rFonts w:ascii="Times New Roman" w:hAnsi="Times New Roman" w:eastAsia="Helvetica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tt-RU" w:eastAsia="zh-CN" w:bidi="ar-SA"/>
        </w:rPr>
        <w:t xml:space="preserve">  сәнәгать-җитештерү тибындагы махсус икътисадый зонасы оешмалары-резидентлары транспорт чарасын исәпкә алу вакытыннан 10 ел эчендә салым салынудан азат ителәләр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.».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tt-RU" w:eastAsia="ru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fill="auto"/>
          <w:lang w:val="tt-RU" w:eastAsia="ru-RU"/>
        </w:rPr>
        <w:t xml:space="preserve">2 статья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fill="auto"/>
          <w:lang w:val="tt-RU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fill="auto"/>
          <w:lang w:val="tt-RU" w:eastAsia="ru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 - гамәлгә кертү тибындагы махсус икътисадый зонасы оешмалары-резидентлары өчен табышка салым буенча салым ставкасын билгеләү турында» 2006 елның 10 февралендәге 5-ТРЗ номерлы Татарстан Республикасы Законына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auto"/>
          <w:lang w:val="tt-RU" w:eastAsia="ru-RU"/>
        </w:rPr>
        <w:t xml:space="preserve">(</w:t>
      </w:r>
      <w:r>
        <w:rPr>
          <w:rFonts w:ascii="Times New Roman" w:hAnsi="Times New Roman" w:eastAsia="Calibri" w:cs="Times New Roman" w:eastAsiaTheme="minorHAnsi"/>
          <w:bCs/>
          <w:color w:val="auto"/>
          <w:sz w:val="28"/>
          <w:szCs w:val="28"/>
          <w:lang w:val="tt-RU" w:eastAsia="en-US"/>
        </w:rPr>
        <w:t xml:space="preserve">Татарстан Дәүләт Советы Җыелма басмасы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auto"/>
          <w:lang w:val="tt-RU" w:eastAsia="ru-RU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fill="auto"/>
          <w:lang w:val="tt-RU" w:eastAsia="ru-RU"/>
        </w:rPr>
        <w:t xml:space="preserve">2006, № 2 (I өлеш); 2009,</w:t>
        <w:br/>
        <w:t xml:space="preserve">№ 1; 2012, №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fill="auto"/>
          <w:lang w:val="tt-RU" w:eastAsia="ru-RU"/>
        </w:rPr>
        <w:t xml:space="preserve">6 (I өлеш); 2014, № 11 (I өлеш);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Татарстан Республикасы законнары җыелмасы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fill="auto"/>
          <w:lang w:val="tt-RU" w:eastAsia="ru-RU"/>
        </w:rPr>
        <w:t xml:space="preserve">, 2017, №17 (I өлеш) түбәндәге үзгәрешләрне кертергә: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fill="auto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fill="auto"/>
          <w:lang w:val="tt-RU"/>
        </w:rPr>
      </w:r>
    </w:p>
    <w:p>
      <w:pPr>
        <w:pStyle w:val="Normal"/>
        <w:keepNext w:val="0"/>
        <w:keepLines w:val="0"/>
        <w:pageBreakBefore w:val="0"/>
        <w:widowControl/>
        <w:numPr>
          <w:numId w:val="4"/>
          <w:ilvl w:val="0"/>
        </w:num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исемне түбәндәге редакциядә бәян итәргә: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left="0" w:right="0" w:firstLine="73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«Махсус икътисадый зона оешмалары-резидентлары өчен оешмалар табышына салым буенча салым ставкасын билгеләү турында»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left="0" w:right="0" w:firstLine="737"/>
        <w:jc w:val="both"/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shd w:val="clear" w:fill="auto"/>
          <w:lang w:val="tt-RU" w:eastAsia="ru-RU" w:bidi="ar-SA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 w:bidi="ar-SA"/>
        </w:rPr>
      </w:r>
    </w:p>
    <w:p>
      <w:pPr>
        <w:pStyle w:val="NormalWeb"/>
        <w:keepNext w:val="0"/>
        <w:keepLines w:val="0"/>
        <w:pageBreakBefore w:val="0"/>
        <w:widowControl/>
        <w:numPr>
          <w:numId w:val="5"/>
          <w:ilvl w:val="0"/>
        </w:numPr>
        <w:spacing w:before="0" w:beforeAutospacing="0" w:after="0" w:afterAutospacing="0" w:line="240" w:lineRule="auto"/>
        <w:ind w:left="0" w:right="0" w:firstLine="73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1 статьяның 1 өлешендә:</w:t>
      </w:r>
    </w:p>
    <w:p>
      <w:pPr>
        <w:pStyle w:val="NormalWeb"/>
        <w:keepNext w:val="0"/>
        <w:keepLines w:val="0"/>
        <w:pageBreakBefore w:val="0"/>
        <w:widowControl/>
        <w:numPr>
          <w:numId w:val="0"/>
          <w:ilvl w:val="0"/>
        </w:numPr>
        <w:spacing w:before="0" w:beforeAutospacing="0" w:after="0" w:afterAutospacing="0" w:line="240" w:lineRule="auto"/>
        <w:ind w:left="737" w:right="0" w:firstLine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 w:bidi="ar-SA"/>
        </w:rPr>
        <w:t xml:space="preserve">а)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беренче абзацны түбәндәге редакциядә бәян итәргә: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«1. </w:t>
      </w:r>
      <w:r>
        <w:rPr>
          <w:rFonts w:ascii="Times New Roman" w:hAnsi="Times New Roman" w:eastAsia="Helvetica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tt-RU" w:eastAsia="zh-CN" w:bidi="ar-SA"/>
        </w:rPr>
        <w:t xml:space="preserve">Татарстан Республикасының Алабуга районы территориясендә төзелгән сәнәгать-җитештерү тибындагы махсус икътисадый зонасы,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һәм Татарстан Республикасының Зәй районы территориясендә төзелгән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«Зеленая Долина» </w:t>
      </w:r>
      <w:r>
        <w:rPr>
          <w:rFonts w:ascii="Times New Roman" w:hAnsi="Times New Roman" w:eastAsia="Helvetica" w:cs="Times New Roman"/>
          <w:i w:val="0"/>
          <w:iCs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tt-RU" w:eastAsia="zh-CN" w:bidi="ar-SA"/>
        </w:rPr>
        <w:t xml:space="preserve">  сәнәгать-җитештерү тибындагы махсус икътисадый зонасы оешмалары-резидентлары өчен (алга таба - оешмалар-резидентлар)  Татарстан Республикасы бюджетына күчерелергә тиешле оешмалар табышына салым буенча салым ставкасын махсус икътисадый зона территориясендә гамәлгә ашырыла торган эшчәнлектән алынган табышка карата түбәндәге күләмнәрдә билгеләргә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:»;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б) дүртенче абзацта «(2017 - 2020 елларда 12,5 процент)» сүзләрен төшереп калдырырга.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shd w:val="clear" w:fill="auto"/>
          <w:lang w:val="tt-RU" w:eastAsia="ru-RU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fill="auto"/>
          <w:lang w:val="tt-RU" w:eastAsia="ru-RU" w:bidi="ar-SA"/>
        </w:rPr>
      </w:r>
    </w:p>
    <w:p>
      <w:pPr>
        <w:pStyle w:val="ConsPlus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fill="auto"/>
          <w:lang w:val="tt-RU"/>
        </w:rPr>
        <w:t xml:space="preserve">3 статья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shd w:val="clear" w:fill="auto"/>
          <w:lang w:val="tt-RU" w:eastAsia="ru-RU" w:bidi="ar-SA"/>
        </w:rPr>
      </w:pP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 w:bidi="ar-SA"/>
        </w:rPr>
      </w:r>
    </w:p>
    <w:p>
      <w:pPr>
        <w:pStyle w:val="Normal"/>
        <w:keepNext w:val="0"/>
        <w:keepLines w:val="0"/>
        <w:pageBreakBefore w:val="0"/>
        <w:widowControl/>
        <w:numPr>
          <w:numId w:val="6"/>
          <w:ilvl w:val="0"/>
        </w:num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Әлеге Закон рәсми басылып чыккан көненнән үз көченә керә. </w:t>
      </w:r>
    </w:p>
    <w:p>
      <w:pPr>
        <w:pStyle w:val="Normal"/>
        <w:keepNext w:val="0"/>
        <w:keepLines w:val="0"/>
        <w:pageBreakBefore w:val="0"/>
        <w:widowControl/>
        <w:numPr>
          <w:numId w:val="6"/>
          <w:ilvl w:val="0"/>
        </w:num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«Транспорт салымы турында» 2002 елның 29 ноябрендәге 24-ТРЗ номерлы Татарстан Республикасы Законының 6 статьясындагы 3 пунктының икенче абзацы (әлеге Закон редакциясендә) һәм </w:t>
      </w:r>
      <w:r>
        <w:rPr>
          <w:rFonts w:ascii="Times New Roman" w:hAnsi="Times New Roman" w:eastAsia="Arial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«Махсус икътисадый зона оешмалары-резидентлары өчен оешмалар табышына салым буенча салым ставкасын билгеләү турында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 w:bidi="ar-SA"/>
        </w:rPr>
        <w:t xml:space="preserve">»</w:t>
      </w:r>
      <w:r>
        <w:rPr>
          <w:rFonts w:ascii="Times New Roman" w:hAnsi="Times New Roman" w:eastAsia="Arial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2006 елның 10 февралендәге 5-ТРЗ номерлы Татарстан Республикасы Законының 1 статьясындагы 1 өлешенең беренче абзацы (әлеге Закон редакциясендә) нигезләмәләренең гамәлдә булуы 2025 елның 25 июненнән барлыкка килгән хокук мөнәсәбәтләренә кагыла. </w:t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</w:r>
    </w:p>
    <w:p>
      <w:pPr>
        <w:pStyle w:val="Normal"/>
        <w:keepNext w:val="0"/>
        <w:keepLines w:val="0"/>
        <w:pageBreakBefore w:val="0"/>
        <w:widowControl/>
        <w:spacing w:before="0" w:after="0" w:line="24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Татарстан Республикасы</w:t>
      </w:r>
    </w:p>
    <w:p>
      <w:pPr>
        <w:pStyle w:val="Normal"/>
        <w:keepNext w:val="0"/>
        <w:keepLines w:val="0"/>
        <w:widowControl/>
        <w:spacing w:before="0" w:after="0" w:line="240" w:lineRule="auto"/>
        <w:ind w:left="0" w:right="0" w:firstLine="709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Рәисе </w:t>
      </w:r>
    </w:p>
    <w:sectPr>
      <w:headerReference w:type="default" r:id="rId7"/>
      <w:footerReference w:type="default" r:id="rId8"/>
      <w:type w:val="nextPage"/>
      <w:pgSz w:w="11906" w:h="16838"/>
      <w:pgMar w:top="1134" w:right="567" w:bottom="1134" w:left="1134" w:header="567" w:footer="567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imes New Roman">
    <w:panose1 w:val="02020603050405020304"/>
  </w:font>
  <w:font w:name="Calibri">
    <w:panose1 w:val="020F0502020204030204"/>
  </w:font>
  <w:font w:name="Liberation Mono">
    <w:panose1 w:val="02070409020205020404"/>
  </w:font>
  <w:font w:name="Arial">
    <w:panose1 w:val="020B0604020202020204"/>
  </w:font>
  <w:font w:name="PT Astra Serif">
    <w:panose1 w:val="020A0603040505020204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56"/>
      <w:jc w:val="center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5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multiLevelType w:val="hybridMultilevel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multiLevelType w:val="hybridMultilevel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</w:abstractNum>
  <w:abstractNum w:abstractNumId="4">
    <w:multiLevelType w:val="hybridMultilevel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multiLevelType w:val="hybridMultilevel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multiLevelType w:val="hybridMultilevel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 w:val="true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 w:val="off"/>
      <w:spacing w:line="240" w:lineRule="auto"/>
      <w:jc w:val="center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numId w:val="0"/>
        <w:ilvl w:val="0"/>
      </w:numPr>
      <w:spacing w:before="0" w:after="0"/>
      <w:outlineLvl w:val="0"/>
    </w:pPr>
  </w:style>
  <w:style w:type="paragraph" w:styleId="2">
    <w:name w:val="Heading 2"/>
    <w:basedOn w:val="Style30"/>
    <w:next w:val="Style31"/>
    <w:qFormat/>
    <w:pPr>
      <w:numPr>
        <w:numId w:val="0"/>
        <w:ilvl w:val="0"/>
      </w:numPr>
      <w:spacing w:before="0" w:after="0"/>
      <w:outlineLvl w:val="1"/>
    </w:pPr>
  </w:style>
  <w:style w:type="paragraph" w:styleId="3">
    <w:name w:val="Heading 3"/>
    <w:basedOn w:val="Style30"/>
    <w:next w:val="Style31"/>
    <w:qFormat/>
    <w:pPr>
      <w:numPr>
        <w:numId w:val="0"/>
        <w:ilvl w:val="0"/>
      </w:numPr>
      <w:spacing w:before="0" w:after="0"/>
      <w:outlineLvl w:val="2"/>
    </w:pPr>
  </w:style>
  <w:style w:type="paragraph" w:styleId="4">
    <w:name w:val="Heading 4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5">
    <w:name w:val="Heading 5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6">
    <w:name w:val="Heading 6"/>
    <w:basedOn w:val="Style30"/>
    <w:next w:val="Style31"/>
    <w:qFormat/>
    <w:pPr>
      <w:numPr>
        <w:numId w:val="0"/>
        <w:ilvl w:val="0"/>
      </w:numPr>
    </w:pPr>
  </w:style>
  <w:style w:type="paragraph" w:styleId="7">
    <w:name w:val="Heading 7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8">
    <w:name w:val="Heading 8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9">
    <w:name w:val="Heading 9"/>
    <w:basedOn w:val="Style30"/>
    <w:next w:val="Style31"/>
    <w:qFormat/>
    <w:pPr>
      <w:numPr>
        <w:numId w:val="0"/>
        <w:ilvl w:val="0"/>
      </w:numPr>
      <w:spacing w:before="0" w:after="0"/>
    </w:pPr>
  </w:style>
  <w:style w:type="character" w:styleId="Style5">
    <w:name w:val="Символ нумерации"/>
    <w:qFormat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</w:style>
  <w:style w:type="character" w:styleId="Style8">
    <w:name w:val="Footnote Reference"/>
    <w:rPr>
      <w:vertAlign w:val="superscript"/>
    </w:rPr>
  </w:style>
  <w:style w:type="character" w:styleId="Style9">
    <w:name w:val="Page Number"/>
  </w:style>
  <w:style w:type="character" w:styleId="Style10">
    <w:name w:val="Символы названия"/>
    <w:qFormat/>
  </w:style>
  <w:style w:type="character" w:styleId="Style11">
    <w:name w:val="Буквица"/>
    <w:qFormat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</w:style>
  <w:style w:type="character" w:styleId="Style15">
    <w:name w:val="Символ концевой сноски"/>
    <w:qFormat/>
  </w:style>
  <w:style w:type="character" w:styleId="Style16">
    <w:name w:val="Line Number"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</w:rPr>
  </w:style>
  <w:style w:type="character" w:styleId="Style20">
    <w:name w:val="Вертикальное направление символов"/>
    <w:qFormat/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0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</w:style>
  <w:style w:type="paragraph" w:styleId="Style32">
    <w:name w:val="List"/>
    <w:basedOn w:val="Style31"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firstLine="0"/>
    </w:pPr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firstLine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firstLine="0"/>
    </w:pPr>
  </w:style>
  <w:style w:type="paragraph" w:styleId="Style40">
    <w:name w:val="Body Text Indent"/>
    <w:basedOn w:val="Style31"/>
    <w:pPr>
      <w:ind w:left="0" w:right="0" w:firstLine="0"/>
    </w:pPr>
  </w:style>
  <w:style w:type="paragraph" w:styleId="Style41">
    <w:name w:val="Salutation"/>
    <w:basedOn w:val="Normal"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firstLine="0"/>
      <w:jc w:val="left"/>
    </w:pPr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firstLine="0"/>
    </w:pPr>
  </w:style>
  <w:style w:type="paragraph" w:styleId="Style44">
    <w:name w:val="Annotation Text"/>
    <w:basedOn w:val="Style31"/>
    <w:pPr>
      <w:ind w:left="0" w:right="0" w:firstLine="0"/>
    </w:pPr>
  </w:style>
  <w:style w:type="paragraph" w:styleId="10">
    <w:name w:val="Заголовок 10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firstLine="0"/>
    </w:pPr>
  </w:style>
  <w:style w:type="paragraph" w:styleId="12">
    <w:name w:val="List 3"/>
    <w:basedOn w:val="Style32"/>
    <w:pPr>
      <w:numPr>
        <w:numId w:val="2"/>
        <w:ilvl w:val="0"/>
      </w:numPr>
      <w:spacing w:before="0" w:after="0"/>
    </w:pPr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firstLine="0"/>
    </w:pPr>
  </w:style>
  <w:style w:type="paragraph" w:styleId="14">
    <w:name w:val="Нумерованный 1 прод."/>
    <w:basedOn w:val="Style32"/>
    <w:qFormat/>
    <w:pPr>
      <w:spacing w:before="0" w:after="0"/>
      <w:ind w:left="0" w:right="0" w:firstLine="0"/>
    </w:pPr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firstLine="0"/>
    </w:pPr>
  </w:style>
  <w:style w:type="paragraph" w:styleId="22">
    <w:name w:val="List Number 2"/>
    <w:basedOn w:val="Style32"/>
    <w:pPr>
      <w:spacing w:before="0" w:after="0"/>
      <w:ind w:left="0" w:right="0" w:firstLine="0"/>
    </w:pPr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firstLine="0"/>
    </w:pPr>
  </w:style>
  <w:style w:type="paragraph" w:styleId="24">
    <w:name w:val="Нумерованный 2 прод."/>
    <w:basedOn w:val="Style32"/>
    <w:qFormat/>
    <w:pPr>
      <w:spacing w:before="0" w:after="0"/>
      <w:ind w:left="0" w:right="0" w:firstLine="0"/>
    </w:pPr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firstLine="0"/>
    </w:pPr>
  </w:style>
  <w:style w:type="paragraph" w:styleId="32">
    <w:name w:val="List Number 3"/>
    <w:basedOn w:val="Style32"/>
    <w:pPr>
      <w:spacing w:before="0" w:after="0"/>
      <w:ind w:left="0" w:right="0" w:firstLine="0"/>
    </w:pPr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firstLine="0"/>
    </w:pPr>
  </w:style>
  <w:style w:type="paragraph" w:styleId="34">
    <w:name w:val="Нумерованный 3 прод."/>
    <w:basedOn w:val="Style32"/>
    <w:qFormat/>
    <w:pPr>
      <w:spacing w:before="0" w:after="0"/>
      <w:ind w:left="0" w:right="0" w:firstLine="0"/>
    </w:pPr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firstLine="0"/>
    </w:pPr>
  </w:style>
  <w:style w:type="paragraph" w:styleId="42">
    <w:name w:val="List Number 4"/>
    <w:basedOn w:val="Style32"/>
    <w:pPr>
      <w:spacing w:before="0" w:after="0"/>
      <w:ind w:left="0" w:right="0" w:firstLine="0"/>
    </w:pPr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firstLine="0"/>
    </w:pPr>
  </w:style>
  <w:style w:type="paragraph" w:styleId="44">
    <w:name w:val="Нумерованный 4 прод."/>
    <w:basedOn w:val="Style32"/>
    <w:qFormat/>
    <w:pPr>
      <w:spacing w:before="0" w:after="0"/>
      <w:ind w:left="0" w:right="0" w:firstLine="0"/>
    </w:pPr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firstLine="0"/>
    </w:pPr>
  </w:style>
  <w:style w:type="paragraph" w:styleId="52">
    <w:name w:val="List Number 5"/>
    <w:basedOn w:val="Style32"/>
    <w:pPr>
      <w:spacing w:before="0" w:after="0"/>
      <w:ind w:left="0" w:right="0" w:firstLine="0"/>
    </w:pPr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firstLine="0"/>
    </w:pPr>
  </w:style>
  <w:style w:type="paragraph" w:styleId="54">
    <w:name w:val="Нумерованный 5 прод."/>
    <w:basedOn w:val="Style32"/>
    <w:qFormat/>
    <w:pPr>
      <w:spacing w:before="0" w:after="0"/>
      <w:ind w:left="0" w:right="0" w:firstLine="0"/>
    </w:pPr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firstLine="0"/>
    </w:pPr>
  </w:style>
  <w:style w:type="paragraph" w:styleId="16">
    <w:name w:val="List 2"/>
    <w:basedOn w:val="Style32"/>
    <w:pPr>
      <w:numPr>
        <w:numId w:val="3"/>
        <w:ilvl w:val="0"/>
      </w:numPr>
      <w:spacing w:before="0" w:after="0"/>
    </w:pPr>
  </w:style>
  <w:style w:type="paragraph" w:styleId="17">
    <w:name w:val="Список 1 конец"/>
    <w:basedOn w:val="Style32"/>
    <w:next w:val="16"/>
    <w:qFormat/>
    <w:pPr>
      <w:spacing w:before="0" w:after="0"/>
      <w:ind w:left="0" w:right="0" w:firstLine="0"/>
    </w:pPr>
  </w:style>
  <w:style w:type="paragraph" w:styleId="18">
    <w:name w:val="List Continue"/>
    <w:basedOn w:val="Style32"/>
    <w:pPr>
      <w:spacing w:before="0" w:after="0"/>
      <w:ind w:left="0" w:right="0" w:firstLine="0"/>
    </w:pPr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firstLine="0"/>
    </w:pPr>
  </w:style>
  <w:style w:type="paragraph" w:styleId="26">
    <w:name w:val="List Bullet 3"/>
    <w:basedOn w:val="Style32"/>
    <w:pPr>
      <w:spacing w:before="0" w:after="0"/>
      <w:ind w:left="0" w:right="0" w:firstLine="0"/>
    </w:pPr>
  </w:style>
  <w:style w:type="paragraph" w:styleId="27">
    <w:name w:val="Список 2 конец"/>
    <w:basedOn w:val="Style32"/>
    <w:next w:val="26"/>
    <w:qFormat/>
    <w:pPr>
      <w:spacing w:before="0" w:after="0"/>
      <w:ind w:left="0" w:right="0" w:firstLine="0"/>
    </w:pPr>
  </w:style>
  <w:style w:type="paragraph" w:styleId="28">
    <w:name w:val="List Continue 2"/>
    <w:basedOn w:val="Style32"/>
    <w:pPr>
      <w:spacing w:before="0" w:after="0"/>
      <w:ind w:left="0" w:right="0" w:firstLine="0"/>
    </w:pPr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firstLine="0"/>
    </w:pPr>
  </w:style>
  <w:style w:type="paragraph" w:styleId="36">
    <w:name w:val="List Bullet 4"/>
    <w:basedOn w:val="Style32"/>
    <w:pPr>
      <w:spacing w:before="0" w:after="0"/>
      <w:ind w:left="0" w:right="0" w:firstLine="0"/>
    </w:pPr>
  </w:style>
  <w:style w:type="paragraph" w:styleId="37">
    <w:name w:val="Список 3 конец"/>
    <w:basedOn w:val="Style32"/>
    <w:next w:val="36"/>
    <w:qFormat/>
    <w:pPr>
      <w:spacing w:before="0" w:after="0"/>
      <w:ind w:left="0" w:right="0" w:firstLine="0"/>
    </w:pPr>
  </w:style>
  <w:style w:type="paragraph" w:styleId="38">
    <w:name w:val="List Continue 3"/>
    <w:basedOn w:val="Style32"/>
    <w:pPr>
      <w:spacing w:before="0" w:after="0"/>
      <w:ind w:left="0" w:right="0" w:firstLine="0"/>
    </w:pPr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firstLine="0"/>
    </w:pPr>
  </w:style>
  <w:style w:type="paragraph" w:styleId="46">
    <w:name w:val="List Bullet 5"/>
    <w:basedOn w:val="Style32"/>
    <w:pPr>
      <w:spacing w:before="0" w:after="0"/>
      <w:ind w:left="0" w:right="0" w:firstLine="0"/>
    </w:pPr>
  </w:style>
  <w:style w:type="paragraph" w:styleId="47">
    <w:name w:val="Список 4 конец"/>
    <w:basedOn w:val="Style32"/>
    <w:next w:val="46"/>
    <w:qFormat/>
    <w:pPr>
      <w:spacing w:before="0" w:after="0"/>
      <w:ind w:left="0" w:right="0" w:firstLine="0"/>
    </w:pPr>
  </w:style>
  <w:style w:type="paragraph" w:styleId="48">
    <w:name w:val="List Continue 4"/>
    <w:basedOn w:val="Style32"/>
    <w:pPr>
      <w:spacing w:before="0" w:after="0"/>
      <w:ind w:left="0" w:right="0" w:firstLine="0"/>
    </w:pPr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firstLine="0"/>
    </w:pPr>
  </w:style>
  <w:style w:type="paragraph" w:styleId="56">
    <w:name w:val="List Number"/>
    <w:basedOn w:val="Style32"/>
    <w:pPr>
      <w:spacing w:before="0" w:after="0"/>
      <w:ind w:left="0" w:right="0" w:firstLine="0"/>
    </w:pPr>
  </w:style>
  <w:style w:type="paragraph" w:styleId="57">
    <w:name w:val="Список 5 конец"/>
    <w:basedOn w:val="Style32"/>
    <w:next w:val="56"/>
    <w:qFormat/>
    <w:pPr>
      <w:spacing w:before="0" w:after="0"/>
      <w:ind w:left="0" w:right="0" w:firstLine="0"/>
    </w:pPr>
  </w:style>
  <w:style w:type="paragraph" w:styleId="58">
    <w:name w:val="List Continue 5"/>
    <w:basedOn w:val="Style32"/>
    <w:pPr>
      <w:spacing w:before="0" w:after="0"/>
      <w:ind w:left="0" w:right="0" w:firstLine="0"/>
    </w:pPr>
  </w:style>
  <w:style w:type="paragraph" w:styleId="Style45">
    <w:name w:val="Index Heading"/>
    <w:basedOn w:val="Style30"/>
    <w:pPr>
      <w:ind w:left="0" w:right="0" w:firstLine="0"/>
    </w:pPr>
  </w:style>
  <w:style w:type="paragraph" w:styleId="19">
    <w:name w:val="Index 1"/>
    <w:basedOn w:val="Style34"/>
    <w:pPr>
      <w:ind w:left="0" w:right="0" w:firstLine="0"/>
    </w:pPr>
  </w:style>
  <w:style w:type="paragraph" w:styleId="29">
    <w:name w:val="Index 2"/>
    <w:basedOn w:val="Style34"/>
    <w:pPr>
      <w:ind w:left="0" w:right="0" w:firstLine="0"/>
    </w:pPr>
  </w:style>
  <w:style w:type="paragraph" w:styleId="39">
    <w:name w:val="Index 3"/>
    <w:basedOn w:val="Style34"/>
    <w:pPr>
      <w:ind w:left="0" w:right="0" w:firstLine="0"/>
    </w:pPr>
  </w:style>
  <w:style w:type="paragraph" w:styleId="Style46">
    <w:name w:val="Разделитель предметного указателя"/>
    <w:basedOn w:val="Style34"/>
    <w:qFormat/>
    <w:pPr>
      <w:ind w:left="0" w:right="0" w:firstLine="0"/>
    </w:pPr>
  </w:style>
  <w:style w:type="paragraph" w:styleId="Style47">
    <w:name w:val="TOC Heading"/>
    <w:basedOn w:val="Style30"/>
    <w:next w:val="110"/>
    <w:pPr>
      <w:ind w:left="0" w:right="0" w:firstLine="0"/>
    </w:pPr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firstLine="0"/>
    </w:pPr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firstLine="0"/>
    </w:pPr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firstLine="0"/>
    </w:pPr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firstLine="0"/>
    </w:pPr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firstLine="0"/>
    </w:pPr>
  </w:style>
  <w:style w:type="paragraph" w:styleId="Style48">
    <w:name w:val="Заголовок указателей пользователя"/>
    <w:basedOn w:val="Style30"/>
    <w:qFormat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firstLine="0"/>
    </w:pPr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firstLine="0"/>
    </w:pPr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firstLine="0"/>
    </w:pPr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firstLine="0"/>
    </w:pPr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firstLine="0"/>
    </w:pPr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firstLine="0"/>
    </w:pPr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firstLine="0"/>
    </w:pPr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firstLine="0"/>
    </w:pPr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firstLine="0"/>
    </w:pPr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49">
    <w:name w:val="Заголовок списка объектов"/>
    <w:basedOn w:val="Style30"/>
    <w:qFormat/>
    <w:pPr>
      <w:ind w:left="0" w:right="0" w:firstLine="0"/>
    </w:pPr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50">
    <w:name w:val="Заголовок списка таблиц"/>
    <w:basedOn w:val="Style30"/>
    <w:qFormat/>
    <w:pPr>
      <w:ind w:left="0" w:right="0" w:firstLine="0"/>
    </w:pPr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51">
    <w:name w:val="Table of Authorities"/>
    <w:basedOn w:val="Style30"/>
    <w:pPr>
      <w:ind w:left="0" w:right="0" w:firstLine="0"/>
    </w:pPr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firstLine="0"/>
    </w:pPr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firstLine="0"/>
    </w:pPr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firstLine="0"/>
    </w:pPr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firstLine="0"/>
    </w:pPr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firstLine="0"/>
    </w:pPr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</w:style>
  <w:style w:type="paragraph" w:styleId="Style59">
    <w:name w:val="Содержимое таблицы"/>
    <w:basedOn w:val="Normal"/>
    <w:qFormat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</w:style>
  <w:style w:type="paragraph" w:styleId="Style62">
    <w:name w:val="Таблица"/>
    <w:basedOn w:val="Style33"/>
    <w:qFormat/>
  </w:style>
  <w:style w:type="paragraph" w:styleId="Style63">
    <w:name w:val="Текст"/>
    <w:basedOn w:val="Style33"/>
    <w:qFormat/>
  </w:style>
  <w:style w:type="paragraph" w:styleId="Style64">
    <w:name w:val="Содержимое врезки"/>
    <w:basedOn w:val="Normal"/>
    <w:qFormat/>
  </w:style>
  <w:style w:type="paragraph" w:styleId="Style65">
    <w:name w:val="Footnote Text"/>
    <w:basedOn w:val="Normal"/>
    <w:pPr>
      <w:ind w:left="0" w:right="0" w:firstLine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</w:style>
  <w:style w:type="paragraph" w:styleId="Style67">
    <w:name w:val="Envelope Return"/>
    <w:basedOn w:val="Normal"/>
    <w:pPr>
      <w:spacing w:before="0" w:after="0"/>
    </w:pPr>
  </w:style>
  <w:style w:type="paragraph" w:styleId="Style68">
    <w:name w:val="Endnote Text"/>
    <w:basedOn w:val="Normal"/>
    <w:pPr>
      <w:ind w:left="0" w:right="0" w:firstLine="0"/>
    </w:pPr>
    <w:rPr>
      <w:sz w:val="28"/>
      <w:szCs w:val="24"/>
    </w:rPr>
  </w:style>
  <w:style w:type="paragraph" w:styleId="Style69">
    <w:name w:val="Table of Figures"/>
    <w:basedOn w:val="Style33"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firstLine="0"/>
    </w:pPr>
  </w:style>
  <w:style w:type="paragraph" w:styleId="Style73">
    <w:name w:val="Заголовок списка"/>
    <w:basedOn w:val="Normal"/>
    <w:next w:val="Style72"/>
    <w:qFormat/>
    <w:pPr>
      <w:ind w:left="0" w:right="0" w:firstLine="0"/>
    </w:pPr>
  </w:style>
  <w:style w:type="paragraph" w:styleId="Style74">
    <w:name w:val="Гриф_Экземпляр"/>
    <w:basedOn w:val="Normal"/>
    <w:qFormat/>
    <w:pPr>
      <w:ind w:left="0" w:right="0" w:firstLine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firstLine="0"/>
      <w:jc w:val="center"/>
    </w:pPr>
  </w:style>
  <w:style w:type="paragraph" w:styleId="ConsPlusTitle">
    <w:name w:val="ConsPlusTitle"/>
    <w:qFormat/>
    <w:pPr>
      <w:widowControl/>
      <w:spacing w:before="0" w:after="0"/>
      <w:jc w:val="left"/>
    </w:pPr>
    <w:rPr>
      <w:rFonts w:ascii="Arial" w:hAnsi="Arial" w:eastAsia="Calibri" w:cs="Arial" w:eastAsiaTheme="minorHAnsi"/>
      <w:b/>
      <w:bCs/>
      <w:color w:val="auto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>
    <w:name w:val="ConsPlusNormal"/>
    <w:qFormat/>
    <w:pPr>
      <w:widowControl/>
      <w:spacing w:before="0" w:after="0"/>
      <w:jc w:val="left"/>
    </w:pPr>
    <w:rPr>
      <w:rFonts w:ascii="Arial" w:hAnsi="Arial" w:eastAsia="Times New Roman" w:cs="Arial"/>
      <w:color w:val="auto"/>
      <w:sz w:val="20"/>
      <w:szCs w:val="20"/>
      <w:lang w:val="ru-RU" w:eastAsia="en-US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3582</Characters>
  <CharactersWithSpaces>4094</CharactersWithSpaces>
  <Pages>2</Pages>
  <Paragraphs>31</Paragraphs>
  <Template/>
  <TotalTime>1</TotalTime>
  <Words>537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/>
  <cp:revision>2</cp:revision>
  <dcterms:created xsi:type="dcterms:W3CDTF">2025-11-21T09:30:44Z</dcterms:created>
  <dcterms:modified xsi:type="dcterms:W3CDTF">2025-11-21T09:32:17Z</dcterms:modified>
</cp:coreProperties>
</file>