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B2" w:rsidRDefault="006B4771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6B4771"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Татарстан Республикасында кече һәм урта эшкуарлыкны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ү</w:t>
      </w:r>
      <w:r w:rsidRPr="006B4771"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стерү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турында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</w:p>
    <w:p w:rsidR="00D77EB2" w:rsidRDefault="006B4771">
      <w:pPr>
        <w:pStyle w:val="ConsPlusNonformat"/>
        <w:widowControl/>
        <w:overflowPunct w:val="0"/>
        <w:ind w:firstLine="35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Татарстан Республикасы Законына</w:t>
      </w: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</w:rPr>
        <w:t>үзгәрешләр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кертү хакында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</w:p>
    <w:p w:rsidR="00D77EB2" w:rsidRDefault="006B4771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 проектына</w:t>
      </w:r>
    </w:p>
    <w:p w:rsidR="00D77EB2" w:rsidRDefault="006B4771">
      <w:pPr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ЧАГЫШТЫРМА ТАБЛИЦА</w:t>
      </w:r>
    </w:p>
    <w:p w:rsidR="00D77EB2" w:rsidRDefault="00D77EB2">
      <w:pPr>
        <w:jc w:val="center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489"/>
        <w:gridCol w:w="4942"/>
        <w:gridCol w:w="5328"/>
      </w:tblGrid>
      <w:tr w:rsidR="00D77EB2" w:rsidRPr="006B4771" w:rsidTr="006B4771">
        <w:trPr>
          <w:trHeight w:val="431"/>
        </w:trPr>
        <w:tc>
          <w:tcPr>
            <w:tcW w:w="540" w:type="dxa"/>
          </w:tcPr>
          <w:p w:rsidR="00D77EB2" w:rsidRDefault="006B4771">
            <w:pPr>
              <w:widowControl w:val="0"/>
              <w:jc w:val="center"/>
            </w:pPr>
            <w:bookmarkStart w:id="0" w:name="_GoBack"/>
            <w:r>
              <w:t>№</w:t>
            </w:r>
          </w:p>
          <w:p w:rsidR="00D77EB2" w:rsidRDefault="006B4771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4489" w:type="dxa"/>
            <w:vAlign w:val="center"/>
          </w:tcPr>
          <w:p w:rsidR="00D77EB2" w:rsidRDefault="006B4771">
            <w:pPr>
              <w:widowControl w:val="0"/>
              <w:suppressAutoHyphens w:val="0"/>
              <w:ind w:firstLine="283"/>
              <w:jc w:val="center"/>
            </w:pPr>
            <w:r>
              <w:rPr>
                <w:lang w:val="tt-RU"/>
              </w:rPr>
              <w:t>Гамәлдәге</w:t>
            </w:r>
            <w:r>
              <w:t xml:space="preserve"> редакция</w:t>
            </w:r>
          </w:p>
        </w:tc>
        <w:tc>
          <w:tcPr>
            <w:tcW w:w="4942" w:type="dxa"/>
            <w:vAlign w:val="center"/>
          </w:tcPr>
          <w:p w:rsidR="00D77EB2" w:rsidRDefault="006B4771">
            <w:pPr>
              <w:widowControl w:val="0"/>
              <w:suppressAutoHyphens w:val="0"/>
              <w:ind w:firstLine="283"/>
              <w:jc w:val="center"/>
              <w:rPr>
                <w:lang w:val="tt-RU"/>
              </w:rPr>
            </w:pPr>
            <w:r>
              <w:rPr>
                <w:lang w:val="tt-RU"/>
              </w:rPr>
              <w:t>Тәкъдим ителә торган үзгәрешләр</w:t>
            </w:r>
          </w:p>
        </w:tc>
        <w:tc>
          <w:tcPr>
            <w:tcW w:w="5328" w:type="dxa"/>
            <w:vAlign w:val="center"/>
          </w:tcPr>
          <w:p w:rsidR="00D77EB2" w:rsidRPr="006B4771" w:rsidRDefault="006B4771">
            <w:pPr>
              <w:widowControl w:val="0"/>
              <w:suppressAutoHyphens w:val="0"/>
              <w:ind w:firstLine="283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Тәкъдим </w:t>
            </w:r>
            <w:r>
              <w:rPr>
                <w:lang w:val="tt-RU"/>
              </w:rPr>
              <w:t>ителә торган үзгәрешләр исәпкә алынган р</w:t>
            </w:r>
            <w:r w:rsidRPr="006B4771">
              <w:rPr>
                <w:lang w:val="tt-RU"/>
              </w:rPr>
              <w:t>едакция</w:t>
            </w:r>
          </w:p>
        </w:tc>
      </w:tr>
      <w:tr w:rsidR="00D77EB2" w:rsidTr="006B4771">
        <w:trPr>
          <w:trHeight w:val="431"/>
        </w:trPr>
        <w:tc>
          <w:tcPr>
            <w:tcW w:w="540" w:type="dxa"/>
          </w:tcPr>
          <w:p w:rsidR="00D77EB2" w:rsidRDefault="006B4771">
            <w:pPr>
              <w:widowControl w:val="0"/>
              <w:jc w:val="center"/>
            </w:pPr>
            <w:r>
              <w:t>1</w:t>
            </w:r>
          </w:p>
        </w:tc>
        <w:tc>
          <w:tcPr>
            <w:tcW w:w="4489" w:type="dxa"/>
          </w:tcPr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rFonts w:eastAsia="Helvetica"/>
                <w:color w:val="000000"/>
                <w:shd w:val="clear" w:color="auto" w:fill="FFFFFF"/>
              </w:rPr>
              <w:t xml:space="preserve"> статья. Әлеге Законда кулланыла торган төп төшенчәләр</w:t>
            </w:r>
          </w:p>
          <w:p w:rsidR="00D77EB2" w:rsidRDefault="00D77EB2">
            <w:pPr>
              <w:widowControl w:val="0"/>
              <w:suppressAutoHyphens w:val="0"/>
              <w:ind w:left="283"/>
              <w:jc w:val="both"/>
              <w:rPr>
                <w:rFonts w:eastAsia="Helvetica"/>
                <w:shd w:val="clear" w:color="auto" w:fill="FFFFFF"/>
              </w:rPr>
            </w:pP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lang w:eastAsia="en-US"/>
              </w:rPr>
            </w:pPr>
            <w:r>
              <w:rPr>
                <w:rFonts w:eastAsia="Helvetica"/>
                <w:color w:val="000000"/>
                <w:shd w:val="clear" w:color="auto" w:fill="FFFFFF"/>
              </w:rPr>
              <w:t>1</w:t>
            </w:r>
            <w:r>
              <w:rPr>
                <w:rFonts w:eastAsia="Helvetica"/>
                <w:color w:val="000000"/>
                <w:shd w:val="clear" w:color="auto" w:fill="FFFFFF"/>
                <w:lang w:val="tt-RU"/>
              </w:rPr>
              <w:t>.</w:t>
            </w:r>
            <w:r>
              <w:rPr>
                <w:rFonts w:eastAsia="Helvetica"/>
                <w:color w:val="000000"/>
                <w:shd w:val="clear" w:color="auto" w:fill="FFFFFF"/>
              </w:rPr>
              <w:t xml:space="preserve"> Әлеге Закон максатларында түбәндәге төп төшенчәләр кулланыла: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>...</w:t>
            </w:r>
          </w:p>
        </w:tc>
        <w:tc>
          <w:tcPr>
            <w:tcW w:w="4942" w:type="dxa"/>
          </w:tcPr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lang w:val="tt-RU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>
              <w:rPr>
                <w:lang w:val="tt-RU" w:eastAsia="en-US"/>
              </w:rPr>
              <w:t>статьяның 1 өлешенә түбәндәге эчтәлектәге 4 пунктны өстәргә: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  <w:rPr>
                <w:lang w:val="tt-RU" w:eastAsia="en-US"/>
              </w:rPr>
            </w:pPr>
          </w:p>
          <w:p w:rsidR="00D77EB2" w:rsidRPr="006B4771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  <w:lang w:val="tt-RU"/>
              </w:rPr>
            </w:pPr>
            <w:r w:rsidRPr="006B4771">
              <w:rPr>
                <w:lang w:val="tt-RU" w:eastAsia="en-US"/>
              </w:rPr>
              <w:t>«4) </w:t>
            </w:r>
            <w:r w:rsidRPr="006B4771">
              <w:rPr>
                <w:rFonts w:eastAsia="Arial"/>
                <w:lang w:val="tt-RU"/>
              </w:rPr>
              <w:t>һөнәрчелек</w:t>
            </w:r>
            <w:r w:rsidRPr="006B4771">
              <w:rPr>
                <w:rFonts w:eastAsia="Arial"/>
                <w:lang w:val="tt-RU"/>
              </w:rPr>
              <w:t xml:space="preserve"> эшчәнлеге субъектлары – һөнәрчелек эшчәнлеге төрләре</w:t>
            </w:r>
            <w:r>
              <w:rPr>
                <w:rFonts w:eastAsia="Arial"/>
                <w:lang w:val="tt-RU"/>
              </w:rPr>
              <w:t xml:space="preserve">нең </w:t>
            </w:r>
            <w:r w:rsidRPr="006B4771">
              <w:rPr>
                <w:rFonts w:eastAsia="Arial"/>
                <w:lang w:val="tt-RU"/>
              </w:rPr>
              <w:t>Татарстан Республикасы Министрлар Кабинеты тарафыннан расланган исемлегендә каралган</w:t>
            </w:r>
            <w:r>
              <w:rPr>
                <w:rFonts w:eastAsia="Arial"/>
                <w:lang w:val="tt-RU"/>
              </w:rPr>
              <w:t xml:space="preserve"> </w:t>
            </w:r>
            <w:r w:rsidRPr="006B4771">
              <w:rPr>
                <w:rFonts w:eastAsia="Arial"/>
                <w:lang w:val="tt-RU"/>
              </w:rPr>
              <w:t>һөнәрчелек</w:t>
            </w:r>
            <w:r w:rsidRPr="006B4771">
              <w:rPr>
                <w:rFonts w:eastAsia="Arial"/>
                <w:lang w:val="tt-RU"/>
              </w:rPr>
              <w:t xml:space="preserve"> эшчәнлеген гамәлгә ашыручы</w:t>
            </w:r>
            <w:r>
              <w:rPr>
                <w:rFonts w:eastAsia="Arial"/>
                <w:lang w:val="tt-RU"/>
              </w:rPr>
              <w:t xml:space="preserve">, </w:t>
            </w:r>
            <w:r w:rsidRPr="006B4771">
              <w:rPr>
                <w:rFonts w:eastAsia="Arial"/>
                <w:lang w:val="tt-RU"/>
              </w:rPr>
              <w:t xml:space="preserve">хезмәткәрләренең исемлек буенча уртача саны узган календарь елда </w:t>
            </w:r>
            <w:r w:rsidRPr="006B4771">
              <w:rPr>
                <w:rFonts w:eastAsia="Arial"/>
                <w:lang w:val="tt-RU"/>
              </w:rPr>
              <w:t>биш кешедән артмаган кече һәм урта эшкуарлык субъектлары һәм индивидуаль эшкуар булмаган һәм «</w:t>
            </w:r>
            <w:r>
              <w:rPr>
                <w:rFonts w:eastAsia="Arial"/>
                <w:lang w:val="tt-RU"/>
              </w:rPr>
              <w:t>Һ</w:t>
            </w:r>
            <w:r w:rsidRPr="006B4771">
              <w:rPr>
                <w:rFonts w:eastAsia="Arial"/>
                <w:lang w:val="tt-RU"/>
              </w:rPr>
              <w:t>өнәри</w:t>
            </w:r>
            <w:r w:rsidRPr="006B4771">
              <w:rPr>
                <w:rFonts w:eastAsia="Arial"/>
                <w:lang w:val="tt-RU"/>
              </w:rPr>
              <w:t xml:space="preserve"> керемгә салым» махсус салым режимын кулланучы физик затлар (алга таба – махсус салым режимын кулланучы физик затлар).»;</w:t>
            </w:r>
          </w:p>
          <w:p w:rsidR="00D77EB2" w:rsidRPr="006B4771" w:rsidRDefault="00D77EB2">
            <w:pPr>
              <w:widowControl w:val="0"/>
              <w:suppressAutoHyphens w:val="0"/>
              <w:ind w:firstLine="283"/>
              <w:jc w:val="both"/>
              <w:rPr>
                <w:rFonts w:eastAsia="Arial"/>
                <w:lang w:val="tt-RU"/>
              </w:rPr>
            </w:pPr>
          </w:p>
          <w:p w:rsidR="00D77EB2" w:rsidRPr="006B4771" w:rsidRDefault="00D77EB2">
            <w:pPr>
              <w:widowControl w:val="0"/>
              <w:suppressAutoHyphens w:val="0"/>
              <w:jc w:val="both"/>
              <w:rPr>
                <w:lang w:val="tt-RU"/>
              </w:rPr>
            </w:pPr>
          </w:p>
        </w:tc>
        <w:tc>
          <w:tcPr>
            <w:tcW w:w="5328" w:type="dxa"/>
          </w:tcPr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rFonts w:eastAsia="Helvetica"/>
                <w:color w:val="000000"/>
                <w:shd w:val="clear" w:color="auto" w:fill="FFFFFF"/>
              </w:rPr>
              <w:t xml:space="preserve"> статья. Әлеге Законда кулланыл</w:t>
            </w:r>
            <w:r>
              <w:rPr>
                <w:rFonts w:eastAsia="Helvetica"/>
                <w:color w:val="000000"/>
                <w:shd w:val="clear" w:color="auto" w:fill="FFFFFF"/>
              </w:rPr>
              <w:t>а торган төп төшенчәләр</w:t>
            </w:r>
          </w:p>
          <w:p w:rsidR="00D77EB2" w:rsidRDefault="00D77EB2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  <w:rPr>
                <w:lang w:eastAsia="en-US"/>
              </w:rPr>
            </w:pP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lang w:eastAsia="en-US"/>
              </w:rPr>
            </w:pPr>
            <w:r>
              <w:rPr>
                <w:rFonts w:eastAsia="Helvetica"/>
                <w:color w:val="000000"/>
                <w:shd w:val="clear" w:color="auto" w:fill="FFFFFF"/>
              </w:rPr>
              <w:t>1</w:t>
            </w:r>
            <w:r>
              <w:rPr>
                <w:rFonts w:eastAsia="Helvetica"/>
                <w:color w:val="000000"/>
                <w:shd w:val="clear" w:color="auto" w:fill="FFFFFF"/>
                <w:lang w:val="tt-RU"/>
              </w:rPr>
              <w:t>.</w:t>
            </w:r>
            <w:r>
              <w:rPr>
                <w:rFonts w:eastAsia="Helvetica"/>
                <w:color w:val="000000"/>
                <w:shd w:val="clear" w:color="auto" w:fill="FFFFFF"/>
              </w:rPr>
              <w:t xml:space="preserve"> Әлеге Закон максатларында түбәндәге төп төшенчәләр кулланыла:</w:t>
            </w:r>
          </w:p>
          <w:p w:rsidR="00D77EB2" w:rsidRDefault="006B4771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</w:pPr>
            <w:r>
              <w:rPr>
                <w:lang w:eastAsia="en-US"/>
              </w:rPr>
              <w:t>...</w:t>
            </w:r>
          </w:p>
          <w:p w:rsidR="00D77EB2" w:rsidRDefault="006B4771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</w:pPr>
            <w:r>
              <w:rPr>
                <w:b/>
                <w:bCs/>
                <w:lang w:eastAsia="en-US"/>
              </w:rPr>
              <w:t>4) </w:t>
            </w:r>
            <w:r>
              <w:rPr>
                <w:rFonts w:eastAsia="Arial"/>
                <w:b/>
                <w:bCs/>
              </w:rPr>
              <w:t>һөнәрчелек</w:t>
            </w:r>
            <w:r>
              <w:rPr>
                <w:rFonts w:eastAsia="Arial"/>
                <w:b/>
                <w:bCs/>
              </w:rPr>
              <w:t xml:space="preserve"> эшчәнлеге субъектлары – һөнәрчелек эшчәнлеге төрләре</w:t>
            </w:r>
            <w:r>
              <w:rPr>
                <w:rFonts w:eastAsia="Arial"/>
                <w:b/>
                <w:bCs/>
                <w:lang w:val="tt-RU"/>
              </w:rPr>
              <w:t xml:space="preserve">нең </w:t>
            </w:r>
            <w:r>
              <w:rPr>
                <w:rFonts w:eastAsia="Arial"/>
                <w:b/>
                <w:bCs/>
              </w:rPr>
              <w:t>Татарстан Республикасы Министрлар Кабинеты тарафыннан расланган исемлегендә каралган</w:t>
            </w:r>
            <w:r>
              <w:rPr>
                <w:rFonts w:eastAsia="Arial"/>
                <w:b/>
                <w:bCs/>
                <w:lang w:val="tt-RU"/>
              </w:rPr>
              <w:t xml:space="preserve"> </w:t>
            </w:r>
            <w:r>
              <w:rPr>
                <w:rFonts w:eastAsia="Arial"/>
                <w:b/>
                <w:bCs/>
              </w:rPr>
              <w:t>һөнәрчелек</w:t>
            </w:r>
            <w:r>
              <w:rPr>
                <w:rFonts w:eastAsia="Arial"/>
                <w:b/>
                <w:bCs/>
              </w:rPr>
              <w:t xml:space="preserve"> эшчәнлеген гамәлгә ашыручы</w:t>
            </w:r>
            <w:r>
              <w:rPr>
                <w:rFonts w:eastAsia="Arial"/>
                <w:b/>
                <w:bCs/>
                <w:lang w:val="tt-RU"/>
              </w:rPr>
              <w:t xml:space="preserve">, </w:t>
            </w:r>
            <w:r>
              <w:rPr>
                <w:rFonts w:eastAsia="Arial"/>
                <w:b/>
                <w:bCs/>
              </w:rPr>
              <w:t>хезмәткәрләренең исемлек буенча уртача саны узган календарь елда биш кешедән артмаган кече һәм урта эшкуарлык субъектлары һәм индивидуаль эшкуар булмаган һәм «</w:t>
            </w:r>
            <w:r>
              <w:rPr>
                <w:rFonts w:eastAsia="Arial"/>
                <w:b/>
                <w:bCs/>
                <w:lang w:val="tt-RU"/>
              </w:rPr>
              <w:t>Һ</w:t>
            </w:r>
            <w:r>
              <w:rPr>
                <w:rFonts w:eastAsia="Arial"/>
                <w:b/>
                <w:bCs/>
              </w:rPr>
              <w:t>өнәри</w:t>
            </w:r>
            <w:r>
              <w:rPr>
                <w:rFonts w:eastAsia="Arial"/>
                <w:b/>
                <w:bCs/>
              </w:rPr>
              <w:t xml:space="preserve"> керемгә салым» махсус салым режимын кулланучы физик</w:t>
            </w:r>
            <w:r>
              <w:rPr>
                <w:rFonts w:eastAsia="Arial"/>
                <w:b/>
                <w:bCs/>
              </w:rPr>
              <w:t xml:space="preserve"> затлар (алга таба – махсус салым режимын кулланучы физик затлар).</w:t>
            </w:r>
          </w:p>
        </w:tc>
      </w:tr>
      <w:tr w:rsidR="00D77EB2" w:rsidTr="006B4771">
        <w:trPr>
          <w:trHeight w:val="431"/>
        </w:trPr>
        <w:tc>
          <w:tcPr>
            <w:tcW w:w="540" w:type="dxa"/>
          </w:tcPr>
          <w:p w:rsidR="00D77EB2" w:rsidRDefault="006B4771">
            <w:pPr>
              <w:widowControl w:val="0"/>
              <w:jc w:val="center"/>
            </w:pPr>
            <w:r>
              <w:t>2</w:t>
            </w:r>
          </w:p>
        </w:tc>
        <w:tc>
          <w:tcPr>
            <w:tcW w:w="4489" w:type="dxa"/>
          </w:tcPr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3 статья. Кече һәм урта эшкуарлыкны үстерү мәсьәләләре буенча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Татарстан Республикасы дәүләт хакимияте органнарының һәм җирле үзидарә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органнарының вәкаләтләре һәм үзара хезмәттәшлеге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</w:pP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</w:rPr>
            </w:pP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lastRenderedPageBreak/>
              <w:t>3. К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ече һәм урта эшкуарлыкны үстерү мәсьәләләре буенча Татарстан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Республикасы Министрлар Кабинеты вәкаләтләренә түбәндәгеләр керә:</w:t>
            </w:r>
          </w:p>
          <w:p w:rsidR="00D77EB2" w:rsidRDefault="00D77EB2">
            <w:pPr>
              <w:widowControl w:val="0"/>
              <w:suppressAutoHyphens w:val="0"/>
              <w:ind w:left="283"/>
              <w:jc w:val="both"/>
            </w:pP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</w:tc>
        <w:tc>
          <w:tcPr>
            <w:tcW w:w="4942" w:type="dxa"/>
          </w:tcPr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3 статьяның 3 өлешенә түбәндәге эчтәлек</w:t>
            </w:r>
            <w:r>
              <w:rPr>
                <w:rFonts w:eastAsia="Arial"/>
                <w:lang w:val="tt-RU"/>
              </w:rPr>
              <w:t>тәге</w:t>
            </w:r>
            <w:r>
              <w:rPr>
                <w:rFonts w:eastAsia="Arial"/>
              </w:rPr>
              <w:t xml:space="preserve"> </w:t>
            </w:r>
            <w:r>
              <w:t>14</w:t>
            </w:r>
            <w:r>
              <w:rPr>
                <w:vertAlign w:val="superscript"/>
              </w:rPr>
              <w:t>1</w:t>
            </w:r>
            <w:r>
              <w:rPr>
                <w:rFonts w:eastAsia="Arial"/>
              </w:rPr>
              <w:t xml:space="preserve"> һәм </w:t>
            </w:r>
            <w:r>
              <w:t>14</w:t>
            </w:r>
            <w:r>
              <w:rPr>
                <w:vertAlign w:val="superscript"/>
              </w:rPr>
              <w:t>2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пунктлар</w:t>
            </w:r>
            <w:r>
              <w:rPr>
                <w:rFonts w:eastAsia="Arial"/>
                <w:lang w:val="tt-RU"/>
              </w:rPr>
              <w:t>ны</w:t>
            </w:r>
            <w:r>
              <w:rPr>
                <w:rFonts w:eastAsia="Arial"/>
              </w:rPr>
              <w:t xml:space="preserve"> өстәргә:</w:t>
            </w: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«</w:t>
            </w:r>
            <w:r>
              <w:t>14</w:t>
            </w:r>
            <w:r>
              <w:rPr>
                <w:vertAlign w:val="superscript"/>
              </w:rPr>
              <w:t>1</w:t>
            </w:r>
            <w:r>
              <w:rPr>
                <w:rFonts w:eastAsia="Arial"/>
              </w:rPr>
              <w:t xml:space="preserve">) һөнәрчелек эшчәнлеге төрләре </w:t>
            </w:r>
            <w:r>
              <w:rPr>
                <w:rFonts w:eastAsia="Arial"/>
              </w:rPr>
              <w:t>исемлеген, кече һәм урта эшкуарлык субъектларын һәм махсус салым режимын кулланучы</w:t>
            </w:r>
            <w:r>
              <w:rPr>
                <w:rFonts w:eastAsia="Arial"/>
                <w:lang w:val="tt-RU"/>
              </w:rPr>
              <w:t xml:space="preserve"> </w:t>
            </w:r>
            <w:r>
              <w:rPr>
                <w:rFonts w:eastAsia="Arial"/>
              </w:rPr>
              <w:t xml:space="preserve">физик затларны һөнәрчелек эшчәнлеге субъектларына кертү тәртибен һәм һөнәрчелек эшчәнлеге субъектлары реестрын алып бару </w:t>
            </w:r>
            <w:r>
              <w:rPr>
                <w:rFonts w:eastAsia="Arial"/>
              </w:rPr>
              <w:lastRenderedPageBreak/>
              <w:t>тәртибен раслау;</w:t>
            </w: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</w:pPr>
            <w:r>
              <w:t>14</w:t>
            </w:r>
            <w:r>
              <w:rPr>
                <w:vertAlign w:val="superscript"/>
              </w:rPr>
              <w:t>2</w:t>
            </w:r>
            <w:r>
              <w:rPr>
                <w:rFonts w:eastAsia="Arial"/>
              </w:rPr>
              <w:t xml:space="preserve">) һөнәрчелек эшчәнлеге </w:t>
            </w:r>
            <w:r>
              <w:rPr>
                <w:rFonts w:eastAsia="Arial"/>
              </w:rPr>
              <w:t>субъектларының идентификация чаралары белән мәҗбүри маркировкаланырга тиеш булмаган хезмәт продуктлары исемлеген раслау;»;</w:t>
            </w:r>
          </w:p>
        </w:tc>
        <w:tc>
          <w:tcPr>
            <w:tcW w:w="5328" w:type="dxa"/>
          </w:tcPr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3 статья. Кече һәм урта эшкуарлыкны үстерү мәсьәләләре буенча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Татарстан Республикасы дәүләт хакимияте органнарының һәм җирле үзидарә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органнарының вәкаләтләре һәм үзара хезмәттәшлеге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</w:pP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</w:rPr>
            </w:pP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>3. К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ече һәм урта эшкуарлыкны үстерү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мәсьәләләре буенча Татарстан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Республикасы Министрлар Кабинеты вәкаләтләренә түбәндәгеләр керә: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t>…</w:t>
            </w: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rFonts w:eastAsia="Arial"/>
                <w:b/>
                <w:bCs/>
              </w:rPr>
              <w:t xml:space="preserve">) һөнәрчелек эшчәнлеге төрләре исемлеген, кече һәм урта эшкуарлык </w:t>
            </w:r>
            <w:r>
              <w:rPr>
                <w:rFonts w:eastAsia="Arial"/>
                <w:b/>
                <w:bCs/>
              </w:rPr>
              <w:t>субъектларын һәм махсус салым режимын кулланучы</w:t>
            </w:r>
            <w:r>
              <w:rPr>
                <w:rFonts w:eastAsia="Arial"/>
                <w:b/>
                <w:bCs/>
                <w:lang w:val="tt-RU"/>
              </w:rPr>
              <w:t xml:space="preserve"> </w:t>
            </w:r>
            <w:r>
              <w:rPr>
                <w:rFonts w:eastAsia="Arial"/>
                <w:b/>
                <w:bCs/>
              </w:rPr>
              <w:t>физик затларны һөнәрчелек эшчәнлеге субъектларына кертү тәртибен һәм һөнәрчелек эшчәнлеге субъектлары реестрын алып бару тәртибен раслау;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rFonts w:eastAsia="Arial"/>
                <w:b/>
                <w:bCs/>
              </w:rPr>
              <w:t xml:space="preserve">) һөнәрчелек эшчәнлеге субъектларының идентификация чаралары белән </w:t>
            </w:r>
            <w:r>
              <w:rPr>
                <w:rFonts w:eastAsia="Arial"/>
                <w:b/>
                <w:bCs/>
              </w:rPr>
              <w:t>мәҗбүри маркировкаланырга тиеш булмаган хезмәт продуктлары исемлеген раслау;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</w:tc>
      </w:tr>
      <w:tr w:rsidR="00D77EB2" w:rsidTr="006B4771">
        <w:trPr>
          <w:trHeight w:val="431"/>
        </w:trPr>
        <w:tc>
          <w:tcPr>
            <w:tcW w:w="540" w:type="dxa"/>
          </w:tcPr>
          <w:p w:rsidR="00D77EB2" w:rsidRDefault="006B4771">
            <w:pPr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4489" w:type="dxa"/>
          </w:tcPr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Helvetica"/>
                <w:color w:val="000000"/>
                <w:shd w:val="clear" w:color="auto" w:fill="FFFFFF"/>
              </w:rPr>
              <w:t>15 статья. Мәгълүмати ярдәм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…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4¹. Индивидуаль эшкуар булмаган һәм «Һөнәри керемгә салым» махсус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салым режимын кулланучы физик затларга мәгълүмати ярдәм күрсәтү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индивидуаль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эшкуар булмаган һәм «Һөнәри керемгә салым» махсус салым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режимын кулланучы физик затлар эшчәнлеген үстерү өчен кирәкле мәгълүматны,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шул исәптән әлеге статьяның 3 өлешендәге 1, 6 һәм 7 пунктларында күрсәтелгән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мәгълүматны, дәүләт хакимияте органнары һәм җирл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е үзидарә органнары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тарафыннан әлеге статьяның 4 өлеше нигезендә мәгълүмат системаларында,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«Интернет» мәгълүмат-телекоммуникация челтәрендә кече һәм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урта эшкуарлык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субъектларына мәгълүмати ярдәм буенча рәсми сайтларда урнаштыру юлы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белән гамәлгә ашырыла.</w:t>
            </w:r>
          </w:p>
          <w:p w:rsidR="00D77EB2" w:rsidRDefault="00D77EB2">
            <w:pPr>
              <w:widowControl w:val="0"/>
              <w:suppressAutoHyphens w:val="0"/>
              <w:ind w:left="28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942" w:type="dxa"/>
          </w:tcPr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rPr>
                <w:lang w:val="tt-RU"/>
              </w:rPr>
              <w:lastRenderedPageBreak/>
              <w:t xml:space="preserve">15 статьяның </w:t>
            </w:r>
            <w:r>
              <w:t>4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lang w:val="tt-RU"/>
              </w:rPr>
              <w:t>өлешен түбәндәге редакциядә бәян итәргә</w:t>
            </w:r>
            <w:r>
              <w:t>: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</w:pPr>
            <w:r>
              <w:t>«4</w:t>
            </w:r>
            <w:r>
              <w:rPr>
                <w:vertAlign w:val="superscript"/>
              </w:rPr>
              <w:t>1</w:t>
            </w:r>
            <w:r>
              <w:t>.</w:t>
            </w:r>
            <w:r>
              <w:rPr>
                <w:lang w:val="tt-RU"/>
              </w:rPr>
              <w:t xml:space="preserve"> 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>М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ахсус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салым режимын кулланучы физик затларга мәгълүмати ярдәм күрсәтү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махсус салым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режимын кулланучы физик затлар эшчәнлеген үстерү өчен кирәкле мәгълүматны,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шул исәптән әлеге статьяның 3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өлешендәге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1, 6 һәм 7 пунктларында күрсәтелгән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мәгълүматны,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дәүләт хакимияте органнары һәм җирле үзидарә органнары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тарафыннан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әлеге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статьяның 4 өлеше нигезендә мәгълүмат системаларында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,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«Интернет» мәгълүмат-телекоммуникация челтәрендә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кече һәм урта эшкуарл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ык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субъектларына мәгълүмати ярдәм буенча рәсми сайтларда урнаштыру юлы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белән гамәлгә ашырыла.</w:t>
            </w:r>
            <w:r>
              <w:t>»;</w:t>
            </w:r>
          </w:p>
        </w:tc>
        <w:tc>
          <w:tcPr>
            <w:tcW w:w="5328" w:type="dxa"/>
          </w:tcPr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Helvetica"/>
                <w:color w:val="000000"/>
                <w:shd w:val="clear" w:color="auto" w:fill="FFFFFF"/>
              </w:rPr>
              <w:t>15 статья. Мәгълүмати ярдәм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…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vertAlign w:val="superscript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lang w:eastAsia="en-US"/>
              </w:rPr>
              <w:t>. 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>М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ахсус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салым режимын кулланучы физик затларга мәгълүмати ярдәм күрсәтү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махсус салым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 xml:space="preserve">режимын кулланучы физик затлар эшчәнлеген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үстерү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 xml:space="preserve"> өчен кирәкле мәгълүматны,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шул исәптән әлеге статьяның 3 өлешендәге 1, 6 һәм 7 пунктларында күрсәтелгән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мәгълүматны,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дәүләт хакимияте органнары һәм җирле үзидарә органнары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тарафыннан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әлеге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 xml:space="preserve"> статьяның 4 өлеше нигезендә мәгълүмат системаларында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,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«Интерн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ет» мәгълүмат-телекоммуникация челтәрендә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кече һәм урта эшкуарлык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субъектларына мәгълүмати ярдәм буенча рәсми сайтларда урнаштыру юлы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белән гамәлгә ашырыла.</w:t>
            </w:r>
          </w:p>
        </w:tc>
      </w:tr>
      <w:tr w:rsidR="00D77EB2" w:rsidTr="006B4771">
        <w:trPr>
          <w:trHeight w:val="431"/>
        </w:trPr>
        <w:tc>
          <w:tcPr>
            <w:tcW w:w="540" w:type="dxa"/>
          </w:tcPr>
          <w:p w:rsidR="00D77EB2" w:rsidRDefault="006B4771">
            <w:pPr>
              <w:widowControl w:val="0"/>
              <w:jc w:val="center"/>
            </w:pPr>
            <w:r>
              <w:t>4</w:t>
            </w:r>
          </w:p>
        </w:tc>
        <w:tc>
          <w:tcPr>
            <w:tcW w:w="4489" w:type="dxa"/>
          </w:tcPr>
          <w:p w:rsidR="00D77EB2" w:rsidRPr="006B4771" w:rsidRDefault="006B4771">
            <w:pPr>
              <w:widowControl w:val="0"/>
              <w:suppressAutoHyphens w:val="0"/>
              <w:ind w:firstLine="240"/>
              <w:jc w:val="both"/>
              <w:rPr>
                <w:rFonts w:eastAsia="Helvetica"/>
                <w:shd w:val="clear" w:color="auto" w:fill="FFFFFF"/>
                <w:lang w:eastAsia="zh-CN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20 статья. Халык сәнгать кәсепләре һәм һөнәр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>челек предприятиеләре (һөнәрчеләр)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өлкәсендә кече һәм урта эшкуарлык субъектларына ярдәм</w:t>
            </w:r>
          </w:p>
          <w:p w:rsidR="00D77EB2" w:rsidRPr="006B4771" w:rsidRDefault="00D77EB2">
            <w:pPr>
              <w:widowControl w:val="0"/>
              <w:suppressAutoHyphens w:val="0"/>
              <w:ind w:firstLine="240"/>
              <w:jc w:val="both"/>
              <w:rPr>
                <w:rFonts w:eastAsia="Helvetica"/>
                <w:shd w:val="clear" w:color="auto" w:fill="FFFFFF"/>
                <w:lang w:eastAsia="zh-CN"/>
              </w:rPr>
            </w:pP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="Helvetica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Халык сәнгать кәсепләре һәм һөнәр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>челек предприятиеләре (һөнәрчеләр)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 өлкәсендә кече һәм урта эшкуарлык субъектларына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ярдәм күрсәтү Татарстан Республикасы башкарма хакимияте органнары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тарафыннан түбәнд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әге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рәвештә гамәлгә ашырыла: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1) халык сәнгать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кәсепләрен, декоратив-гамәли сәнгатьне һәм һөнәр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>челек эшчәнлеген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торгызу һәм үстерү өчен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уңайлы шартлар тудыру;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Arial"/>
              </w:rPr>
            </w:pP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2) </w:t>
            </w:r>
            <w:r>
              <w:rPr>
                <w:rFonts w:eastAsia="Arial"/>
                <w:lang w:val="tt-RU"/>
              </w:rPr>
              <w:t>х</w:t>
            </w:r>
            <w:r>
              <w:rPr>
                <w:rFonts w:eastAsia="Arial"/>
              </w:rPr>
              <w:t>алык сәнгать кәсепләре һәм һөнәрчелек эшчәнлеге өлкәсендә кече һәм урта эшкуарлык субъектларын</w:t>
            </w:r>
            <w:r>
              <w:rPr>
                <w:rFonts w:eastAsia="Arial"/>
              </w:rPr>
              <w:t xml:space="preserve">а ярдәм итү инфраструктурасын барлыкка китерүче оешмалар, шул исәптән </w:t>
            </w:r>
            <w:r>
              <w:rPr>
                <w:rFonts w:eastAsia="Arial"/>
                <w:lang w:val="tt-RU"/>
              </w:rPr>
              <w:t>х</w:t>
            </w:r>
            <w:r>
              <w:rPr>
                <w:rFonts w:eastAsia="Arial"/>
              </w:rPr>
              <w:t xml:space="preserve">алык сәнгать үзәкләре һәм һөнәрләре </w:t>
            </w:r>
            <w:r>
              <w:rPr>
                <w:rFonts w:eastAsia="Arial"/>
                <w:lang w:val="tt-RU"/>
              </w:rPr>
              <w:t>п</w:t>
            </w:r>
            <w:r>
              <w:rPr>
                <w:rFonts w:eastAsia="Arial"/>
              </w:rPr>
              <w:t>алаталары төзү, һәм аларның эшчәнлеген тәэмин итү;</w:t>
            </w:r>
          </w:p>
          <w:p w:rsidR="00D77EB2" w:rsidRDefault="006B4771">
            <w:pPr>
              <w:widowControl w:val="0"/>
              <w:numPr>
                <w:ilvl w:val="0"/>
                <w:numId w:val="1"/>
              </w:numPr>
              <w:suppressAutoHyphens w:val="0"/>
              <w:ind w:firstLine="283"/>
              <w:jc w:val="both"/>
            </w:pPr>
            <w:r>
              <w:rPr>
                <w:rFonts w:eastAsia="Arial"/>
                <w:lang w:val="tt-RU"/>
              </w:rPr>
              <w:t>эш</w:t>
            </w:r>
            <w:r>
              <w:rPr>
                <w:rFonts w:eastAsia="Arial"/>
                <w:lang w:val="tt-RU"/>
              </w:rPr>
              <w:t>чәнлекләрен х</w:t>
            </w:r>
            <w:r>
              <w:rPr>
                <w:rFonts w:eastAsia="Arial"/>
              </w:rPr>
              <w:t xml:space="preserve">алык сәнгать кәсепләре өлкәсендәге гамәлгә ашыручы кече һәм урта эшкуарлык </w:t>
            </w:r>
            <w:r>
              <w:rPr>
                <w:rFonts w:eastAsia="Arial"/>
              </w:rPr>
              <w:t xml:space="preserve">субъектларын һәм һөнәрчелек предприятиеләрен </w:t>
            </w:r>
            <w:r>
              <w:rPr>
                <w:rFonts w:eastAsia="Arial"/>
              </w:rPr>
              <w:lastRenderedPageBreak/>
              <w:t>(һөнәрчеләрне) халык сәнгать кәсепләрен, декоратив-гамәли сәнгатьне һәм һөнәрчелек эшчәнлеген үстерүнең дәүләт программаларын (ярдәмче программаларын) эшләүдә һәм гамәлгә ашыруда катнашуга җәлеп итү;</w:t>
            </w:r>
          </w:p>
          <w:p w:rsidR="00D77EB2" w:rsidRDefault="006B4771">
            <w:pPr>
              <w:shd w:val="clear" w:color="auto" w:fill="FFFFFF"/>
              <w:ind w:firstLine="24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4) кече һәм</w:t>
            </w:r>
            <w:r>
              <w:rPr>
                <w:rFonts w:eastAsia="Arial"/>
              </w:rPr>
              <w:t xml:space="preserve"> урта эшкуарлык субъектлары хезмәткәрләрен һәм җитәкчеләрен әзерләү, яңадан әзерләү һәм аларның квалификациясен күтәрү өлкәсендә финанс, мөлкәт</w:t>
            </w:r>
            <w:r>
              <w:rPr>
                <w:rFonts w:eastAsia="Arial"/>
                <w:lang w:val="tt-RU"/>
              </w:rPr>
              <w:t>и</w:t>
            </w:r>
            <w:r>
              <w:rPr>
                <w:rFonts w:eastAsia="Arial"/>
              </w:rPr>
              <w:t>, консультация, мәгълүмати ярдәм күрсәтү;</w:t>
            </w:r>
          </w:p>
          <w:p w:rsidR="00D77EB2" w:rsidRPr="006B4771" w:rsidRDefault="006B4771">
            <w:pPr>
              <w:shd w:val="clear" w:color="auto" w:fill="FFFFFF"/>
              <w:ind w:firstLine="240"/>
              <w:jc w:val="both"/>
              <w:rPr>
                <w:rFonts w:eastAsia="Helvetica"/>
                <w:shd w:val="clear" w:color="auto" w:fill="FFFFFF"/>
                <w:lang w:eastAsia="zh-CN"/>
              </w:rPr>
            </w:pPr>
            <w:r>
              <w:rPr>
                <w:rFonts w:eastAsia="Arial"/>
              </w:rPr>
              <w:t>5) халык сәнгать кәсепләре һәм һөнәрчелек предприятиеләре (һөнәрчеләр)</w:t>
            </w:r>
            <w:r>
              <w:rPr>
                <w:rFonts w:eastAsia="Arial"/>
              </w:rPr>
              <w:t xml:space="preserve"> өлкәсендә кече һәм урта эшкуарлык субъектларына ярдәм итү буенча башка чараларны гамәлгә ашыру.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</w:pPr>
          </w:p>
        </w:tc>
        <w:tc>
          <w:tcPr>
            <w:tcW w:w="4942" w:type="dxa"/>
          </w:tcPr>
          <w:p w:rsidR="00D77EB2" w:rsidRDefault="006B4771">
            <w:pPr>
              <w:widowControl w:val="0"/>
              <w:suppressAutoHyphens w:val="0"/>
              <w:ind w:firstLine="240"/>
              <w:jc w:val="both"/>
            </w:pPr>
            <w:r>
              <w:lastRenderedPageBreak/>
              <w:t>20</w:t>
            </w:r>
            <w:r>
              <w:rPr>
                <w:lang w:val="tt-RU"/>
              </w:rPr>
              <w:t xml:space="preserve"> статьяны түбәндәге редакциядә бәян итәргә</w:t>
            </w:r>
            <w:r>
              <w:t>: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</w:rPr>
            </w:pPr>
            <w:r>
              <w:t>«20</w:t>
            </w:r>
            <w:r>
              <w:rPr>
                <w:lang w:val="tt-RU"/>
              </w:rPr>
              <w:t xml:space="preserve"> статья</w:t>
            </w:r>
            <w:r>
              <w:t>. </w:t>
            </w:r>
            <w:r>
              <w:rPr>
                <w:rFonts w:eastAsia="Arial"/>
              </w:rPr>
              <w:t>Халык сәнгать кәсепләре өлкәсендә кече һәм урта эшкуарлык субъектларына һәм һөнәрчелек эшчәнлеге суб</w:t>
            </w:r>
            <w:r>
              <w:rPr>
                <w:rFonts w:eastAsia="Arial"/>
              </w:rPr>
              <w:t>ъектларына ярдәм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  <w:rPr>
                <w:rFonts w:eastAsia="Arial"/>
              </w:rPr>
            </w:pP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Халык сәнгать кәсепләре өлкәсендә кече һәм урта эшкуарлык субъектларына һәм һөнәрчелек эшчәнлеге субъектларына ярдәм күрсәтү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Татарстан Республикасы башкарма хакимияте органнары</w:t>
            </w:r>
            <w:r>
              <w:rPr>
                <w:rFonts w:eastAsia="Helvetica"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color w:val="000000"/>
                <w:shd w:val="clear" w:color="auto" w:fill="FFFFFF"/>
                <w:lang w:eastAsia="zh-CN"/>
              </w:rPr>
              <w:t>тарафыннан түбәндәге рәвештә гамәлгә ашырыла:</w:t>
            </w:r>
          </w:p>
          <w:p w:rsidR="00D77EB2" w:rsidRDefault="006B4771">
            <w:pPr>
              <w:widowControl w:val="0"/>
              <w:numPr>
                <w:ilvl w:val="0"/>
                <w:numId w:val="2"/>
              </w:numPr>
              <w:suppressAutoHyphens w:val="0"/>
              <w:ind w:firstLine="283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халык сәнгать </w:t>
            </w:r>
            <w:r>
              <w:rPr>
                <w:rFonts w:eastAsia="Arial"/>
              </w:rPr>
              <w:t>кәсепләрен, декоратив-гамәли сәнгат</w:t>
            </w:r>
            <w:r>
              <w:rPr>
                <w:rFonts w:eastAsia="Arial"/>
                <w:lang w:val="tt-RU"/>
              </w:rPr>
              <w:t>ьне</w:t>
            </w:r>
            <w:r>
              <w:rPr>
                <w:rFonts w:eastAsia="Arial"/>
              </w:rPr>
              <w:t xml:space="preserve"> һәм һөнәрчелек эшчәнлеген торгызу һәм үстерү өчен уңай</w:t>
            </w:r>
            <w:r>
              <w:rPr>
                <w:rFonts w:eastAsia="Arial"/>
                <w:lang w:val="tt-RU"/>
              </w:rPr>
              <w:t>лы</w:t>
            </w:r>
            <w:r>
              <w:rPr>
                <w:rFonts w:eastAsia="Arial"/>
              </w:rPr>
              <w:t xml:space="preserve"> шартлар тудыру;</w:t>
            </w:r>
          </w:p>
          <w:p w:rsidR="00D77EB2" w:rsidRDefault="006B4771">
            <w:pPr>
              <w:widowControl w:val="0"/>
              <w:numPr>
                <w:ilvl w:val="0"/>
                <w:numId w:val="2"/>
              </w:numPr>
              <w:suppressAutoHyphens w:val="0"/>
              <w:ind w:firstLine="283"/>
              <w:jc w:val="both"/>
            </w:pPr>
            <w:r>
              <w:rPr>
                <w:rFonts w:eastAsia="Arial"/>
                <w:lang w:val="tt-RU"/>
              </w:rPr>
              <w:t>х</w:t>
            </w:r>
            <w:r>
              <w:rPr>
                <w:rFonts w:eastAsia="Arial"/>
              </w:rPr>
              <w:t xml:space="preserve">алык сәнгать кәсепләре өлкәсендә кече һәм урта эшкуарлык субъектларына һәм һөнәрчелек эшчәнлеге субъектларына, шул исәптән </w:t>
            </w:r>
            <w:r>
              <w:rPr>
                <w:rFonts w:eastAsia="Arial"/>
                <w:lang w:val="tt-RU"/>
              </w:rPr>
              <w:t>х</w:t>
            </w:r>
            <w:r>
              <w:rPr>
                <w:rFonts w:eastAsia="Arial"/>
              </w:rPr>
              <w:t>алык сәнгать кәсепл</w:t>
            </w:r>
            <w:r>
              <w:rPr>
                <w:rFonts w:eastAsia="Arial"/>
              </w:rPr>
              <w:t>әре</w:t>
            </w:r>
            <w:r>
              <w:rPr>
                <w:rFonts w:eastAsia="Arial"/>
              </w:rPr>
              <w:t xml:space="preserve"> һәм һөнәрләре палаталарына һәм үзәкләренә ярдәм итү инфраструктурасын барлыкка китерүче оешмалар төзү һәм аларның эшчәнлеген тәэмин итү;</w:t>
            </w:r>
          </w:p>
          <w:p w:rsidR="00D77EB2" w:rsidRDefault="006B4771">
            <w:pPr>
              <w:widowControl w:val="0"/>
              <w:numPr>
                <w:ilvl w:val="0"/>
                <w:numId w:val="2"/>
              </w:numPr>
              <w:suppressAutoHyphens w:val="0"/>
              <w:ind w:firstLine="283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халык сәнгать кәсепләре өлкәсендә кече һәм урта эшкуарлык субъектларын һәм һөнәрчелек эшчәнлеге субъектларын халык </w:t>
            </w:r>
            <w:r>
              <w:rPr>
                <w:rFonts w:eastAsia="Arial"/>
              </w:rPr>
              <w:t>сәнгать кәсепләрен, декоратив-гамәли сән</w:t>
            </w:r>
            <w:r>
              <w:rPr>
                <w:rFonts w:eastAsia="Arial"/>
              </w:rPr>
              <w:lastRenderedPageBreak/>
              <w:t>гатьне һәм һөнәрчелек эшчәнлеген үстерүнең дәүләт программаларын (ярдәмче программаларын) эшләүдә һәм гамәлгә ашыруда катнашуга җәлеп итү;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</w:rPr>
            </w:pPr>
            <w:r>
              <w:t>4) </w:t>
            </w:r>
            <w:r>
              <w:rPr>
                <w:lang w:val="tt-RU"/>
              </w:rPr>
              <w:t xml:space="preserve"> </w:t>
            </w:r>
            <w:r>
              <w:rPr>
                <w:rFonts w:eastAsia="Arial"/>
              </w:rPr>
              <w:t>халык сәнгать кәсепләре өлкәсендә кече һәм урта эшкуарлык субъектлары һәм</w:t>
            </w:r>
            <w:r>
              <w:rPr>
                <w:rFonts w:eastAsia="Arial"/>
              </w:rPr>
              <w:t xml:space="preserve"> һөнәрчелек эшчәнлеге субъектлары хезмәткәрләрен әзерләү, яңадан әзерләү һәм аларның квалификациясен күтәрү өлкәсендә</w:t>
            </w:r>
            <w:r>
              <w:rPr>
                <w:rFonts w:eastAsia="Arial"/>
                <w:lang w:val="tt-RU"/>
              </w:rPr>
              <w:t xml:space="preserve"> ярдәм, </w:t>
            </w:r>
            <w:r>
              <w:rPr>
                <w:rFonts w:eastAsia="Arial"/>
              </w:rPr>
              <w:t xml:space="preserve"> финанс, мөлкәт</w:t>
            </w:r>
            <w:r>
              <w:rPr>
                <w:rFonts w:eastAsia="Arial"/>
                <w:lang w:val="tt-RU"/>
              </w:rPr>
              <w:t>и</w:t>
            </w:r>
            <w:r>
              <w:rPr>
                <w:rFonts w:eastAsia="Arial"/>
              </w:rPr>
              <w:t>, мәгълүмати, хокукый һәм консультаци</w:t>
            </w:r>
            <w:r>
              <w:rPr>
                <w:rFonts w:eastAsia="Arial"/>
                <w:lang w:val="tt-RU"/>
              </w:rPr>
              <w:t>я</w:t>
            </w:r>
            <w:r>
              <w:rPr>
                <w:rFonts w:eastAsia="Arial"/>
              </w:rPr>
              <w:t xml:space="preserve"> ярдәм</w:t>
            </w:r>
            <w:r>
              <w:rPr>
                <w:rFonts w:eastAsia="Arial"/>
                <w:lang w:val="tt-RU"/>
              </w:rPr>
              <w:t>е</w:t>
            </w:r>
            <w:r>
              <w:rPr>
                <w:rFonts w:eastAsia="Arial"/>
              </w:rPr>
              <w:t xml:space="preserve"> күрсәтү;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</w:rPr>
            </w:pPr>
            <w:r>
              <w:t>5)</w:t>
            </w:r>
            <w:r>
              <w:rPr>
                <w:lang w:val="tt-RU"/>
              </w:rPr>
              <w:t xml:space="preserve"> </w:t>
            </w:r>
            <w:r>
              <w:t> </w:t>
            </w:r>
            <w:r>
              <w:rPr>
                <w:rFonts w:eastAsia="Arial"/>
              </w:rPr>
              <w:t>халык сәнгать кәсепләре өлкәсендә кече һәм урта эшкуарлы</w:t>
            </w:r>
            <w:r>
              <w:rPr>
                <w:rFonts w:eastAsia="Arial"/>
              </w:rPr>
              <w:t>к субъектларына һәм һөнәрчелек эшчәнлеге субъектларына ярдәм итү буенча башка чараларны гамәлгә ашыру.».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  <w:rPr>
                <w:rFonts w:eastAsia="Arial"/>
              </w:rPr>
            </w:pP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</w:pPr>
          </w:p>
        </w:tc>
        <w:tc>
          <w:tcPr>
            <w:tcW w:w="5328" w:type="dxa"/>
          </w:tcPr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lastRenderedPageBreak/>
              <w:t xml:space="preserve">20 </w:t>
            </w:r>
            <w:r>
              <w:rPr>
                <w:rFonts w:eastAsia="Arial"/>
                <w:b/>
                <w:bCs/>
                <w:lang w:val="tt-RU"/>
              </w:rPr>
              <w:t>статья</w:t>
            </w:r>
            <w:r>
              <w:rPr>
                <w:rFonts w:eastAsia="Arial"/>
                <w:b/>
                <w:bCs/>
              </w:rPr>
              <w:t>. Халык сәнгать кәсепләре өлкәсендә кече һәм урта эшкуарлык субъектларына һәм һөнәрчелек эшчәнлеге субъектларына ярдәм</w:t>
            </w:r>
          </w:p>
          <w:p w:rsidR="00D77EB2" w:rsidRDefault="00D77EB2">
            <w:pPr>
              <w:widowControl w:val="0"/>
              <w:suppressAutoHyphens w:val="0"/>
              <w:ind w:firstLine="283"/>
              <w:jc w:val="both"/>
              <w:rPr>
                <w:rFonts w:eastAsia="Arial"/>
                <w:b/>
                <w:bCs/>
                <w:lang w:eastAsia="en-US"/>
              </w:rPr>
            </w:pP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Халык сәнгать кәсепләре өлкәсендә кече һәм урта эшкуарлык субъектларына һәм һөнәрчелек эшчәнлеге субъектларына ярдәм күрсәтү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Татарстан Республикасы башкарма хакимияте органнары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val="tt-RU" w:eastAsia="zh-CN"/>
              </w:rPr>
              <w:t xml:space="preserve"> </w:t>
            </w:r>
            <w:r w:rsidRPr="006B4771"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тарафыннан түбәндәге рәвештә гамәлгә ашырыла:</w:t>
            </w: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="Arial"/>
                <w:b/>
                <w:bCs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1) </w:t>
            </w:r>
            <w:r>
              <w:rPr>
                <w:rFonts w:eastAsia="Arial"/>
                <w:b/>
                <w:bCs/>
              </w:rPr>
              <w:t>халык сәнгать кәсепләрен, деко</w:t>
            </w:r>
            <w:r>
              <w:rPr>
                <w:rFonts w:eastAsia="Arial"/>
                <w:b/>
                <w:bCs/>
              </w:rPr>
              <w:t>ратив-гамәли сәнгат</w:t>
            </w:r>
            <w:r>
              <w:rPr>
                <w:rFonts w:eastAsia="Arial"/>
                <w:b/>
                <w:bCs/>
                <w:lang w:val="tt-RU"/>
              </w:rPr>
              <w:t>ьне</w:t>
            </w:r>
            <w:r>
              <w:rPr>
                <w:rFonts w:eastAsia="Arial"/>
                <w:b/>
                <w:bCs/>
              </w:rPr>
              <w:t xml:space="preserve"> һәм һөнәрчелек эшчәнлеген торгызу һәм үстерү өчен уңай</w:t>
            </w:r>
            <w:r>
              <w:rPr>
                <w:rFonts w:eastAsia="Arial"/>
                <w:b/>
                <w:bCs/>
                <w:lang w:val="tt-RU"/>
              </w:rPr>
              <w:t>лы</w:t>
            </w:r>
            <w:r>
              <w:rPr>
                <w:rFonts w:eastAsia="Arial"/>
                <w:b/>
                <w:bCs/>
              </w:rPr>
              <w:t xml:space="preserve"> шартлар тудыру;</w:t>
            </w: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2) </w:t>
            </w:r>
            <w:r>
              <w:rPr>
                <w:rFonts w:eastAsia="Arial"/>
                <w:b/>
                <w:bCs/>
                <w:lang w:val="tt-RU"/>
              </w:rPr>
              <w:t>х</w:t>
            </w:r>
            <w:r>
              <w:rPr>
                <w:rFonts w:eastAsia="Arial"/>
                <w:b/>
                <w:bCs/>
              </w:rPr>
              <w:t xml:space="preserve">алык сәнгать кәсепләре өлкәсендә кече һәм урта эшкуарлык субъектларына һәм һөнәрчелек эшчәнлеге субъектларына, шул исәптән </w:t>
            </w:r>
            <w:r>
              <w:rPr>
                <w:rFonts w:eastAsia="Arial"/>
                <w:b/>
                <w:bCs/>
                <w:lang w:val="tt-RU"/>
              </w:rPr>
              <w:t>х</w:t>
            </w:r>
            <w:r>
              <w:rPr>
                <w:rFonts w:eastAsia="Arial"/>
                <w:b/>
                <w:bCs/>
              </w:rPr>
              <w:t>алык сәнгать кәсепләре һәм һөнәр</w:t>
            </w:r>
            <w:r>
              <w:rPr>
                <w:rFonts w:eastAsia="Arial"/>
                <w:b/>
                <w:bCs/>
              </w:rPr>
              <w:t>ләре палаталарына һәм үзәкләренә ярдәм итү инфраструктурасын барлыкка китерүче оешмалар төзү һәм аларның эшчәнлеген тәэмин итү;</w:t>
            </w:r>
          </w:p>
          <w:p w:rsidR="00D77EB2" w:rsidRDefault="006B4771">
            <w:pPr>
              <w:widowControl w:val="0"/>
              <w:suppressAutoHyphens w:val="0"/>
              <w:ind w:firstLine="240"/>
              <w:jc w:val="both"/>
              <w:rPr>
                <w:rFonts w:eastAsia="Arial"/>
                <w:b/>
                <w:bCs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3) </w:t>
            </w:r>
            <w:r>
              <w:rPr>
                <w:rFonts w:eastAsia="Arial"/>
                <w:b/>
                <w:bCs/>
              </w:rPr>
              <w:t>халык сәнгать кәсепләре өлкәсендә кече һәм урта эшкуарлык субъектларын һәм һөнәрчелек эшчәнлеге субъектларын халык сәнгать кә</w:t>
            </w:r>
            <w:r>
              <w:rPr>
                <w:rFonts w:eastAsia="Arial"/>
                <w:b/>
                <w:bCs/>
              </w:rPr>
              <w:t>сепләрен, декоратив-гамәли сәнгатьне һәм һөнәрчелек эшчәнлеген үстерүнең дәүләт программаларын (ярдәмче програм</w:t>
            </w:r>
            <w:r>
              <w:rPr>
                <w:rFonts w:eastAsia="Arial"/>
                <w:b/>
                <w:bCs/>
              </w:rPr>
              <w:lastRenderedPageBreak/>
              <w:t>маларын) эшләүдә һәм гамәлгә ашыруда катнашуга җәлеп итү;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4) </w:t>
            </w:r>
            <w:r>
              <w:rPr>
                <w:b/>
                <w:bCs/>
                <w:lang w:val="tt-RU"/>
              </w:rPr>
              <w:t xml:space="preserve"> </w:t>
            </w:r>
            <w:r>
              <w:rPr>
                <w:rFonts w:eastAsia="Arial"/>
                <w:b/>
                <w:bCs/>
              </w:rPr>
              <w:t xml:space="preserve">халык сәнгать кәсепләре өлкәсендә кече һәм урта эшкуарлык субъектлары һәм </w:t>
            </w:r>
            <w:r>
              <w:rPr>
                <w:rFonts w:eastAsia="Arial"/>
                <w:b/>
                <w:bCs/>
              </w:rPr>
              <w:t>һөнәрчелек</w:t>
            </w:r>
            <w:r>
              <w:rPr>
                <w:rFonts w:eastAsia="Arial"/>
                <w:b/>
                <w:bCs/>
              </w:rPr>
              <w:t xml:space="preserve"> эшчәнлеге субъектлары хезмәткәрләрен әзерләү, яңадан әзерләү һәм аларның квалификациясен күтәрү өлкәсендә</w:t>
            </w:r>
            <w:r>
              <w:rPr>
                <w:rFonts w:eastAsia="Arial"/>
                <w:b/>
                <w:bCs/>
                <w:lang w:val="tt-RU"/>
              </w:rPr>
              <w:t xml:space="preserve"> ярдәм, </w:t>
            </w:r>
            <w:r>
              <w:rPr>
                <w:rFonts w:eastAsia="Arial"/>
                <w:b/>
                <w:bCs/>
              </w:rPr>
              <w:t xml:space="preserve"> финанс, мөлкәт</w:t>
            </w:r>
            <w:r>
              <w:rPr>
                <w:rFonts w:eastAsia="Arial"/>
                <w:b/>
                <w:bCs/>
                <w:lang w:val="tt-RU"/>
              </w:rPr>
              <w:t>и</w:t>
            </w:r>
            <w:r>
              <w:rPr>
                <w:rFonts w:eastAsia="Arial"/>
                <w:b/>
                <w:bCs/>
              </w:rPr>
              <w:t>, мәгълүмати, хокукый һәм консультаци</w:t>
            </w:r>
            <w:r>
              <w:rPr>
                <w:rFonts w:eastAsia="Arial"/>
                <w:b/>
                <w:bCs/>
                <w:lang w:val="tt-RU"/>
              </w:rPr>
              <w:t>я</w:t>
            </w:r>
            <w:r>
              <w:rPr>
                <w:rFonts w:eastAsia="Arial"/>
                <w:b/>
                <w:bCs/>
              </w:rPr>
              <w:t xml:space="preserve"> ярдәм</w:t>
            </w:r>
            <w:r>
              <w:rPr>
                <w:rFonts w:eastAsia="Arial"/>
                <w:b/>
                <w:bCs/>
                <w:lang w:val="tt-RU"/>
              </w:rPr>
              <w:t>е</w:t>
            </w:r>
            <w:r>
              <w:rPr>
                <w:rFonts w:eastAsia="Arial"/>
                <w:b/>
                <w:bCs/>
              </w:rPr>
              <w:t xml:space="preserve"> күрсәтү;</w:t>
            </w:r>
          </w:p>
          <w:p w:rsidR="00D77EB2" w:rsidRDefault="006B4771">
            <w:pPr>
              <w:widowControl w:val="0"/>
              <w:suppressAutoHyphens w:val="0"/>
              <w:ind w:firstLine="283"/>
              <w:jc w:val="both"/>
            </w:pPr>
            <w:r>
              <w:rPr>
                <w:b/>
                <w:bCs/>
              </w:rPr>
              <w:t>5)</w:t>
            </w:r>
            <w:r>
              <w:rPr>
                <w:b/>
                <w:bCs/>
                <w:lang w:val="tt-RU"/>
              </w:rPr>
              <w:t xml:space="preserve"> </w:t>
            </w:r>
            <w:r>
              <w:rPr>
                <w:b/>
                <w:bCs/>
              </w:rPr>
              <w:t> </w:t>
            </w:r>
            <w:r>
              <w:rPr>
                <w:rFonts w:eastAsia="Arial"/>
                <w:b/>
                <w:bCs/>
              </w:rPr>
              <w:t>халык сәнгать кәсепләре өлкәсендә кече һәм урта эшкуарлык</w:t>
            </w:r>
            <w:r>
              <w:rPr>
                <w:rFonts w:eastAsia="Arial"/>
                <w:b/>
                <w:bCs/>
              </w:rPr>
              <w:t xml:space="preserve"> субъектларына һәм һөнәрчелек эшчәнлеге субъектларына ярдәм итү буенча башка чараларны гамәлгә ашыру.</w:t>
            </w:r>
          </w:p>
        </w:tc>
      </w:tr>
      <w:bookmarkEnd w:id="0"/>
    </w:tbl>
    <w:p w:rsidR="00D77EB2" w:rsidRDefault="00D77EB2"/>
    <w:sectPr w:rsidR="00D77EB2">
      <w:headerReference w:type="even" r:id="rId7"/>
      <w:headerReference w:type="default" r:id="rId8"/>
      <w:headerReference w:type="first" r:id="rId9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4771">
      <w:r>
        <w:separator/>
      </w:r>
    </w:p>
  </w:endnote>
  <w:endnote w:type="continuationSeparator" w:id="0">
    <w:p w:rsidR="00000000" w:rsidRDefault="006B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4771">
      <w:r>
        <w:separator/>
      </w:r>
    </w:p>
  </w:footnote>
  <w:footnote w:type="continuationSeparator" w:id="0">
    <w:p w:rsidR="00000000" w:rsidRDefault="006B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B2" w:rsidRDefault="00D77E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113962"/>
      <w:docPartObj>
        <w:docPartGallery w:val="AutoText"/>
      </w:docPartObj>
    </w:sdtPr>
    <w:sdtEndPr/>
    <w:sdtContent>
      <w:p w:rsidR="00D77EB2" w:rsidRDefault="006B4771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B2" w:rsidRDefault="00D77E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76B1"/>
    <w:multiLevelType w:val="multilevel"/>
    <w:tmpl w:val="606C7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3F6EEF"/>
    <w:multiLevelType w:val="multilevel"/>
    <w:tmpl w:val="4A9EE54E"/>
    <w:lvl w:ilvl="0">
      <w:start w:val="3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657D89"/>
    <w:multiLevelType w:val="multilevel"/>
    <w:tmpl w:val="93721456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B2"/>
    <w:rsid w:val="006B4771"/>
    <w:rsid w:val="00D7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8463-FCA3-40B2-83BA-E6051D10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Pr>
      <w:rFonts w:eastAsia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List"/>
    <w:basedOn w:val="a7"/>
    <w:qFormat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b">
    <w:name w:val="Колонтитул"/>
    <w:basedOn w:val="a"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Валиев И.Р.</cp:lastModifiedBy>
  <cp:revision>27</cp:revision>
  <cp:lastPrinted>2025-05-05T08:46:00Z</cp:lastPrinted>
  <dcterms:created xsi:type="dcterms:W3CDTF">2025-05-05T07:56:00Z</dcterms:created>
  <dcterms:modified xsi:type="dcterms:W3CDTF">2025-12-19T08:13:00Z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024B633C0B8E4AD39BFA36ABC78A7BA2_13</vt:lpwstr>
  </property>
  <property fmtid="{D5CDD505-2E9C-101B-9397-08002B2CF9AE}" pid="3" name="KSOProductBuildVer">
    <vt:lpwstr>1049-12.2.0.23155</vt:lpwstr>
  </property>
</Properties>
</file>