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9"/>
        <w:bidi w:val="0"/>
        <w:spacing w:lineRule="auto" w:line="240" w:before="0" w:after="0"/>
        <w:ind w:firstLine="7427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  <w:shd w:fill="auto" w:val="clear"/>
        </w:rPr>
        <w:t xml:space="preserve">проект </w:t>
      </w:r>
    </w:p>
    <w:p>
      <w:pPr>
        <w:pStyle w:val="19"/>
        <w:bidi w:val="0"/>
        <w:spacing w:lineRule="auto" w:line="240" w:before="0" w:after="0"/>
        <w:ind w:firstLine="7427"/>
        <w:jc w:val="left"/>
        <w:rPr>
          <w:rFonts w:ascii="Times New Roman" w:hAnsi="Times New Roman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28"/>
          <w:szCs w:val="28"/>
          <w:shd w:fill="auto" w:val="clear"/>
        </w:rPr>
        <w:t>вносится</w:t>
      </w:r>
    </w:p>
    <w:p>
      <w:pPr>
        <w:pStyle w:val="ConsPlusTitle"/>
        <w:ind w:hanging="0" w:left="7427"/>
        <w:jc w:val="left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color w:val="000000"/>
          <w:sz w:val="28"/>
          <w:szCs w:val="28"/>
          <w:shd w:fill="auto" w:val="clear"/>
        </w:rPr>
        <w:t>Кабинетом Министров Республики Татарстан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 xml:space="preserve">ЗАКОН </w:t>
      </w:r>
    </w:p>
    <w:p>
      <w:pPr>
        <w:pStyle w:val="Normal"/>
        <w:widowControl w:val="false"/>
        <w:suppressAutoHyphens w:val="true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>РЕСПУБЛИКИ ТАТАРСТАН</w:t>
      </w:r>
    </w:p>
    <w:p>
      <w:pPr>
        <w:pStyle w:val="Normal"/>
        <w:widowControl w:val="false"/>
        <w:suppressAutoHyphens w:val="true"/>
        <w:bidi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735" w:leader="none"/>
          <w:tab w:val="left" w:pos="1134" w:leader="none"/>
        </w:tabs>
        <w:suppressAutoHyphens w:val="true"/>
        <w:overflowPunct w:val="true"/>
        <w:bidi w:val="0"/>
        <w:spacing w:lineRule="auto" w:line="240" w:before="0" w:after="0"/>
        <w:ind w:hanging="0" w:left="0" w:right="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themeColor="text1" w:val="000000"/>
          <w:sz w:val="28"/>
          <w:szCs w:val="28"/>
        </w:rPr>
        <w:t>«О внесении изменения в статью 8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735" w:leader="none"/>
          <w:tab w:val="left" w:pos="1134" w:leader="none"/>
        </w:tabs>
        <w:suppressAutoHyphens w:val="true"/>
        <w:overflowPunct w:val="true"/>
        <w:bidi w:val="0"/>
        <w:spacing w:lineRule="auto" w:line="240" w:before="0" w:after="0"/>
        <w:ind w:hanging="0" w:left="0" w:right="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themeColor="text1" w:val="000000"/>
          <w:sz w:val="28"/>
          <w:szCs w:val="28"/>
        </w:rPr>
        <w:t>Земельного кодекса Республики Татарстан»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</w:tabs>
        <w:suppressAutoHyphens w:val="true"/>
        <w:bidi w:val="0"/>
        <w:ind w:firstLine="709" w:left="0"/>
        <w:jc w:val="both"/>
        <w:outlineLvl w:val="0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</w:tabs>
        <w:suppressAutoHyphens w:val="true"/>
        <w:bidi w:val="0"/>
        <w:ind w:firstLine="709" w:left="0"/>
        <w:jc w:val="both"/>
        <w:outlineLvl w:val="0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</w:tabs>
        <w:suppressAutoHyphens w:val="true"/>
        <w:bidi w:val="0"/>
        <w:ind w:firstLine="709" w:left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Статья 1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</w:tabs>
        <w:suppressAutoHyphens w:val="true"/>
        <w:bidi w:val="0"/>
        <w:ind w:firstLine="709" w:left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suppressAutoHyphens w:val="true"/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Внести в статью 8 Земельного кодекса Республики Татарстан (в редакции Закона Республики Татарстан от 18 января 2005 года № 4-ЗРТ) (Ведомости Государственного Совета Татарстана, 1998, № 8 (II часть); 2005, № 1 (I часть),</w:t>
        <w:br/>
        <w:t>№ 12 (I часть); 2006, № 7 (I часть); 2007, № 1 (I часть), № 4; 2008, № 5 (I часть); 2009, № 7 – 8 (III часть); 2010, № 11; 2011, № 11 (I часть); 2012, № 3, № 5 (I часть); 2013, № 1; 2014, № 3</w:t>
      </w:r>
      <w:r>
        <w:rPr>
          <w:rFonts w:ascii="Times New Roman" w:hAnsi="Times New Roman"/>
          <w:color w:themeColor="text1" w:val="000000"/>
          <w:sz w:val="28"/>
          <w:szCs w:val="28"/>
          <w:shd w:fill="auto" w:val="clear"/>
        </w:rPr>
        <w:t>, № 5, № 6 (II часть), № 7, № 12 (II часть); 2015, № 7 (I часть), № 10 (I часть); 2016, № 5; Собрание законодательства Республики Татарстан, 2016, № 40 (часть I); 2017, № 41 (часть I), № 52 (часть I), № 76 (часть I); 2018,</w:t>
        <w:br/>
        <w:t>№ 1 (часть I), № 22 (часть I), № 78 (часть I); 2019, № 2 (часть I), № 60 (часть I); 2020, № 77 (часть I); 2021, № 1 (часть I), № 20 (часть I), № 29 (часть I), № 57 (часть I),</w:t>
        <w:br/>
        <w:t xml:space="preserve">№ 77 (часть I), № 93 (часть I); 2022, № 3 (часть I), № 17 (часть I), </w:t>
      </w:r>
      <w:r>
        <w:rPr>
          <w:rFonts w:eastAsia="Source Han Sans CN Regular" w:cs="Lohit Devanagari" w:ascii="Times New Roman" w:hAnsi="Times New Roman"/>
          <w:color w:themeColor="text1" w:val="000000"/>
          <w:kern w:val="2"/>
          <w:sz w:val="28"/>
          <w:szCs w:val="28"/>
          <w:shd w:fill="auto" w:val="clear"/>
          <w:lang w:val="ru-RU" w:eastAsia="ru-RU" w:bidi="ru-RU"/>
        </w:rPr>
        <w:t>№ 57 (часть I),</w:t>
        <w:br/>
        <w:t>№ 77 (часть I), № 83 (часть I); 2023, № 11 (часть I), № 27 (часть I), № 56 (часть I),</w:t>
        <w:br/>
        <w:t>№ 73 (часть I), № 86 (часть I), № 92 (часть I), № 95 (часть I), 2024, № 45 (часть I),          № 56 (часть I); 2025, № 1 (часть I), № 18 (часть I), № 49 (часть I), № 75 (часть I),</w:t>
        <w:br/>
        <w:t>№ 85 (часть I); 2026, № 2 (часть I) изменение, изложив ее в следующей редакции:</w:t>
      </w:r>
    </w:p>
    <w:p>
      <w:pPr>
        <w:pStyle w:val="Normal"/>
        <w:tabs>
          <w:tab w:val="clear" w:pos="709"/>
          <w:tab w:val="left" w:pos="1134" w:leader="none"/>
        </w:tabs>
        <w:suppressAutoHyphens w:val="true"/>
        <w:bidi w:val="0"/>
        <w:ind w:firstLine="709"/>
        <w:jc w:val="both"/>
        <w:rPr>
          <w:rFonts w:ascii="Times New Roman" w:hAnsi="Times New Roman" w:eastAsia="Source Han Sans CN Regular" w:cs="Lohit Devanagari"/>
          <w:color w:themeColor="text1" w:val="000000"/>
          <w:kern w:val="2"/>
          <w:sz w:val="28"/>
          <w:szCs w:val="28"/>
          <w:highlight w:val="none"/>
          <w:shd w:fill="auto" w:val="clear"/>
          <w:lang w:val="ru-RU" w:eastAsia="ru-RU" w:bidi="ru-RU"/>
        </w:rPr>
      </w:pPr>
      <w:r>
        <w:rPr>
          <w:rFonts w:eastAsia="Source Han Sans CN Regular" w:cs="Lohit Devanagari" w:ascii="Times New Roman" w:hAnsi="Times New Roman"/>
          <w:color w:themeColor="text1" w:val="000000"/>
          <w:kern w:val="2"/>
          <w:sz w:val="28"/>
          <w:szCs w:val="28"/>
          <w:shd w:fill="auto" w:val="clear"/>
          <w:lang w:val="ru-RU" w:eastAsia="ru-RU" w:bidi="ru-RU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8"/>
        <w:gridCol w:w="8176"/>
      </w:tblGrid>
      <w:tr>
        <w:trPr/>
        <w:tc>
          <w:tcPr>
            <w:tcW w:w="2028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uppressAutoHyphens w:val="true"/>
              <w:bidi w:val="0"/>
              <w:ind w:firstLine="709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fill="auto" w:val="clear"/>
              </w:rPr>
              <w:t>«Статья 8.</w:t>
            </w:r>
          </w:p>
        </w:tc>
        <w:tc>
          <w:tcPr>
            <w:tcW w:w="8176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uppressAutoHyphens w:val="true"/>
              <w:bidi w:val="0"/>
              <w:ind w:hanging="0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shd w:fill="auto" w:val="clear"/>
              </w:rPr>
              <w:t>Перевод земель или земельных участков в составе таких земель</w:t>
              <w:br/>
              <w:t>из одной категории в другую</w:t>
            </w:r>
          </w:p>
        </w:tc>
      </w:tr>
    </w:tbl>
    <w:p>
      <w:pPr>
        <w:pStyle w:val="Normal"/>
        <w:tabs>
          <w:tab w:val="clear" w:pos="709"/>
          <w:tab w:val="left" w:pos="1134" w:leader="none"/>
        </w:tabs>
        <w:suppressAutoHyphens w:val="true"/>
        <w:bidi w:val="0"/>
        <w:ind w:firstLine="709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tabs>
          <w:tab w:val="clear" w:pos="709"/>
          <w:tab w:val="left" w:pos="1134" w:leader="none"/>
        </w:tabs>
        <w:suppressAutoHyphens w:val="true"/>
        <w:bidi w:val="0"/>
        <w:ind w:firstLine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Cs/>
          <w:sz w:val="28"/>
          <w:szCs w:val="28"/>
          <w:shd w:fill="auto" w:val="clear"/>
        </w:rPr>
        <w:t>1</w:t>
      </w:r>
      <w:r>
        <w:rPr>
          <w:rFonts w:eastAsia="Calibri" w:ascii="Times New Roman" w:hAnsi="Times New Roman"/>
          <w:sz w:val="28"/>
          <w:szCs w:val="28"/>
          <w:shd w:fill="auto" w:val="clear"/>
        </w:rPr>
        <w:t xml:space="preserve">. Перевод земель или земельных участков в составе таких земель из одной категории в другую осуществляется в порядке, установленном федеральными законами, </w:t>
      </w:r>
      <w:r>
        <w:rPr>
          <w:rFonts w:eastAsia="Calibri" w:ascii="Times New Roman" w:hAnsi="Times New Roman"/>
          <w:b w:val="false"/>
          <w:sz w:val="28"/>
          <w:szCs w:val="28"/>
          <w:shd w:fill="auto" w:val="clear"/>
        </w:rPr>
        <w:t>иными нормативными правовыми актами Российской Федерации, настоящим Кодексом и иными нормативными правовыми актами Республики Татарстан.</w:t>
      </w:r>
    </w:p>
    <w:p>
      <w:pPr>
        <w:pStyle w:val="Normal"/>
        <w:widowControl w:val="false"/>
        <w:numPr>
          <w:ilvl w:val="0"/>
          <w:numId w:val="0"/>
        </w:numPr>
        <w:bidi w:val="0"/>
        <w:ind w:firstLine="709" w:left="0" w:right="0"/>
        <w:jc w:val="both"/>
        <w:outlineLvl w:val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2. Перевод находящихся в собственности Республики Татарстан земель</w:t>
        <w:br/>
        <w:t>или земельных участков в составе таких земель из одной категории в другую,</w:t>
        <w:br/>
        <w:t>за исключением земель сельскохозяйственного назначения или земельных участков</w:t>
        <w:br/>
        <w:t>в составе таких земель, осуществляется Кабинетом Министров Республики Татарстан.</w:t>
      </w:r>
    </w:p>
    <w:p>
      <w:pPr>
        <w:pStyle w:val="Normal"/>
        <w:widowControl w:val="false"/>
        <w:numPr>
          <w:ilvl w:val="0"/>
          <w:numId w:val="0"/>
        </w:numPr>
        <w:bidi w:val="0"/>
        <w:ind w:firstLine="709" w:left="0" w:right="0"/>
        <w:jc w:val="both"/>
        <w:outlineLvl w:val="0"/>
        <w:rPr>
          <w:rFonts w:ascii="Times New Roman" w:hAnsi="Times New Roman"/>
          <w:highlight w:val="none"/>
          <w:shd w:fill="auto" w:val="clear"/>
        </w:rPr>
      </w:pPr>
      <w:r>
        <w:rPr>
          <w:rFonts w:eastAsia="Source Han Sans CN Regular" w:cs="Lohit Devanagari" w:ascii="Times New Roman" w:hAnsi="Times New Roman"/>
          <w:color w:val="000000"/>
          <w:kern w:val="2"/>
          <w:sz w:val="28"/>
          <w:szCs w:val="28"/>
          <w:shd w:fill="auto" w:val="clear"/>
          <w:lang w:val="ru-RU" w:eastAsia="ru-RU" w:bidi="ru-RU"/>
        </w:rPr>
        <w:t>3. Акт о переводе земель или земельных участков в составе таких земель</w:t>
        <w:br/>
      </w:r>
      <w:r>
        <w:rPr>
          <w:rFonts w:ascii="Times New Roman" w:hAnsi="Times New Roman"/>
          <w:sz w:val="28"/>
          <w:szCs w:val="28"/>
          <w:shd w:fill="auto" w:val="clear"/>
        </w:rPr>
        <w:t>из одной категории в другую в отношении земель сельскохозяйственного назначения или земельных участков в составе таких земель, за исключением земель, находящихся в федеральной собственности, принимается уполномоченным органом исполнительной власти в соответствии с законом Республики Татарстан, предусматривающим перевод земель сельскохозяйственного назначения</w:t>
        <w:br/>
        <w:t>или земельных участков в составе</w:t>
      </w:r>
      <w:r>
        <w:rPr>
          <w:rFonts w:eastAsia="Source Han Sans CN Regular" w:cs="Lohit Devanagari" w:ascii="Times New Roman" w:hAnsi="Times New Roman"/>
          <w:color w:val="000000"/>
          <w:kern w:val="2"/>
          <w:sz w:val="28"/>
          <w:szCs w:val="28"/>
          <w:shd w:fill="auto" w:val="clear"/>
          <w:lang w:val="ru-RU" w:eastAsia="ru-RU" w:bidi="ru-RU"/>
        </w:rPr>
        <w:t xml:space="preserve"> таких земель в другую категори</w:t>
      </w:r>
      <w:r>
        <w:rPr>
          <w:rFonts w:ascii="Times New Roman" w:hAnsi="Times New Roman"/>
          <w:sz w:val="28"/>
          <w:szCs w:val="28"/>
          <w:shd w:fill="auto" w:val="clear"/>
        </w:rPr>
        <w:t>ю.</w:t>
      </w:r>
    </w:p>
    <w:p>
      <w:pPr>
        <w:pStyle w:val="Normal"/>
        <w:widowControl w:val="false"/>
        <w:numPr>
          <w:ilvl w:val="0"/>
          <w:numId w:val="0"/>
        </w:numPr>
        <w:bidi w:val="0"/>
        <w:ind w:firstLine="709" w:left="0" w:right="0"/>
        <w:jc w:val="both"/>
        <w:outlineLvl w:val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color w:themeColor="text1" w:val="000000"/>
          <w:sz w:val="28"/>
          <w:szCs w:val="28"/>
          <w:shd w:fill="auto" w:val="clear"/>
        </w:rPr>
        <w:t>4. Проект закона Республики Татарстан, предусматривающий перевод земель сельскохозяйственных угодий или земельных участков в составе таких земель</w:t>
        <w:br/>
        <w:t>из земель сельскохозяйствен</w:t>
      </w:r>
      <w:r>
        <w:rPr>
          <w:rFonts w:eastAsia="Source Han Sans CN Regular" w:cs="Lohit Devanagari" w:ascii="Times New Roman" w:hAnsi="Times New Roman"/>
          <w:color w:themeColor="text1" w:val="000000"/>
          <w:kern w:val="2"/>
          <w:sz w:val="28"/>
          <w:szCs w:val="28"/>
          <w:shd w:fill="auto" w:val="clear"/>
          <w:lang w:val="ru-RU" w:eastAsia="ru-RU" w:bidi="ru-RU"/>
        </w:rPr>
        <w:t>ного назначения в другую категорию, направ</w:t>
      </w:r>
      <w:r>
        <w:rPr>
          <w:rFonts w:ascii="Times New Roman" w:hAnsi="Times New Roman"/>
          <w:color w:themeColor="text1" w:val="000000"/>
          <w:sz w:val="28"/>
          <w:szCs w:val="28"/>
          <w:shd w:fill="auto" w:val="clear"/>
        </w:rPr>
        <w:t>ляется Главой (Раисом) Республики Татарстан для получения заключения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использования и охраны земель сельскохозяйственного назначения, одновременно</w:t>
        <w:br/>
        <w:t>с внесением в Государственный Совет Республики Татарстан.».</w:t>
      </w:r>
    </w:p>
    <w:p>
      <w:pPr>
        <w:pStyle w:val="Normal"/>
        <w:tabs>
          <w:tab w:val="clear" w:pos="709"/>
          <w:tab w:val="left" w:pos="1134" w:leader="none"/>
        </w:tabs>
        <w:suppressAutoHyphens w:val="true"/>
        <w:bidi w:val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themeColor="text1" w:val="000000"/>
          <w:sz w:val="28"/>
          <w:szCs w:val="28"/>
          <w:shd w:fill="auto" w:val="clear"/>
        </w:rPr>
      </w:r>
    </w:p>
    <w:p>
      <w:pPr>
        <w:pStyle w:val="Normal"/>
        <w:tabs>
          <w:tab w:val="clear" w:pos="709"/>
          <w:tab w:val="left" w:pos="1134" w:leader="none"/>
        </w:tabs>
        <w:suppressAutoHyphens w:val="true"/>
        <w:bidi w:val="0"/>
        <w:ind w:firstLine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zCs w:val="28"/>
          <w:shd w:fill="auto" w:val="clear"/>
        </w:rPr>
        <w:t>Статья 2</w:t>
      </w:r>
    </w:p>
    <w:p>
      <w:pPr>
        <w:pStyle w:val="Normal"/>
        <w:tabs>
          <w:tab w:val="clear" w:pos="709"/>
          <w:tab w:val="left" w:pos="1134" w:leader="none"/>
        </w:tabs>
        <w:suppressAutoHyphens w:val="true"/>
        <w:bidi w:val="0"/>
        <w:ind w:firstLine="709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tabs>
          <w:tab w:val="clear" w:pos="709"/>
          <w:tab w:val="left" w:pos="1134" w:leader="none"/>
        </w:tabs>
        <w:suppressAutoHyphens w:val="true"/>
        <w:bidi w:val="0"/>
        <w:ind w:firstLine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color w:themeColor="text1" w:val="000000"/>
          <w:sz w:val="28"/>
          <w:szCs w:val="28"/>
          <w:shd w:fill="auto" w:val="clear"/>
        </w:rPr>
        <w:t xml:space="preserve">1. Настоящий Закон вступает в силу с 1 марта 2026 года. </w:t>
      </w:r>
    </w:p>
    <w:p>
      <w:pPr>
        <w:pStyle w:val="Normal"/>
        <w:tabs>
          <w:tab w:val="clear" w:pos="709"/>
          <w:tab w:val="left" w:pos="1134" w:leader="none"/>
        </w:tabs>
        <w:suppressAutoHyphens w:val="true"/>
        <w:bidi w:val="0"/>
        <w:ind w:firstLine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color w:themeColor="text1" w:val="000000"/>
          <w:sz w:val="28"/>
          <w:szCs w:val="28"/>
          <w:shd w:fill="auto" w:val="clear"/>
        </w:rPr>
        <w:t>2. Ходатайства о переводе земель сельскохозяйственного назначения в другую категорию</w:t>
      </w:r>
      <w:r>
        <w:rPr>
          <w:rFonts w:eastAsia="Source Han Sans CN Regular" w:cs="Lohit Devanagari" w:ascii="Times New Roman" w:hAnsi="Times New Roman"/>
          <w:color w:themeColor="text1" w:val="000000"/>
          <w:kern w:val="2"/>
          <w:sz w:val="28"/>
          <w:szCs w:val="28"/>
          <w:shd w:fill="auto" w:val="clear"/>
          <w:lang w:val="ru-RU" w:eastAsia="ru-RU" w:bidi="ru-RU"/>
        </w:rPr>
        <w:t xml:space="preserve"> и </w:t>
      </w:r>
      <w:r>
        <w:rPr>
          <w:rFonts w:ascii="Times New Roman" w:hAnsi="Times New Roman"/>
          <w:color w:themeColor="text1" w:val="000000"/>
          <w:sz w:val="28"/>
          <w:szCs w:val="28"/>
          <w:shd w:fill="auto" w:val="clear"/>
        </w:rPr>
        <w:t>ходатайства о переводе земельных участков в составе земель сельскохозяйственного назначения в другую категорию, поступившие до 1 марта</w:t>
        <w:br/>
        <w:t>2026 года, рассматриваются в порядке, установленном до дня вступления в силу настоящего Закона.</w:t>
      </w:r>
    </w:p>
    <w:p>
      <w:pPr>
        <w:pStyle w:val="Normal"/>
        <w:tabs>
          <w:tab w:val="clear" w:pos="709"/>
          <w:tab w:val="left" w:pos="1134" w:leader="none"/>
        </w:tabs>
        <w:suppressAutoHyphens w:val="true"/>
        <w:bidi w:val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suppressAutoHyphens w:val="true"/>
        <w:bidi w:val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Глава (Раис)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Indent"/>
    <w:qFormat/>
    <w:pPr>
      <w:spacing w:before="0" w:after="0"/>
      <w:ind w:hanging="0" w:left="709" w:right="0"/>
      <w:jc w:val="both"/>
    </w:pPr>
    <w:rPr>
      <w:b/>
    </w:rPr>
  </w:style>
  <w:style w:type="paragraph" w:styleId="BodyTextIndent">
    <w:name w:val="Body Text Indent"/>
    <w:basedOn w:val="BodyText"/>
    <w:qFormat/>
    <w:pPr>
      <w:ind w:hanging="0" w:left="0" w:right="0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qFormat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qFormat/>
    <w:pPr>
      <w:numPr>
        <w:ilvl w:val="0"/>
        <w:numId w:val="1"/>
      </w:numPr>
      <w:spacing w:before="0" w:after="0"/>
      <w:ind w:hanging="0" w:left="0" w:right="0"/>
    </w:pPr>
    <w:rPr/>
  </w:style>
  <w:style w:type="paragraph" w:styleId="11">
    <w:name w:val="Нумерованный 1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qFormat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qFormat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qFormat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qFormat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qFormat/>
    <w:pPr>
      <w:numPr>
        <w:ilvl w:val="0"/>
        <w:numId w:val="2"/>
      </w:numPr>
      <w:spacing w:before="0" w:after="0"/>
      <w:ind w:hanging="0" w:left="0" w:right="0"/>
    </w:pPr>
    <w:rPr/>
  </w:style>
  <w:style w:type="paragraph" w:styleId="14">
    <w:name w:val="Список 1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qFormat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qFormat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qFormat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qFormat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qFormat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qFormat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qFormat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qFormat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TableofFigures">
    <w:name w:val="table of figures"/>
    <w:basedOn w:val="Caption"/>
    <w:qFormat/>
    <w:pPr/>
    <w:rPr/>
  </w:style>
  <w:style w:type="paragraph" w:styleId="Style43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4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5">
    <w:name w:val="Содержимое списка"/>
    <w:basedOn w:val="Normal"/>
    <w:qFormat/>
    <w:pPr>
      <w:ind w:hanging="0" w:left="0" w:right="0"/>
    </w:pPr>
    <w:rPr/>
  </w:style>
  <w:style w:type="paragraph" w:styleId="Style46">
    <w:name w:val="Заголовок списка"/>
    <w:basedOn w:val="Normal"/>
    <w:next w:val="Style45"/>
    <w:qFormat/>
    <w:pPr>
      <w:ind w:hanging="0" w:left="0" w:right="0"/>
    </w:pPr>
    <w:rPr/>
  </w:style>
  <w:style w:type="paragraph" w:styleId="Style47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8">
    <w:name w:val="Исполнитель документа"/>
    <w:basedOn w:val="Normal"/>
    <w:qFormat/>
    <w:pPr>
      <w:jc w:val="left"/>
    </w:pPr>
    <w:rPr>
      <w:sz w:val="24"/>
    </w:rPr>
  </w:style>
  <w:style w:type="paragraph" w:styleId="Style49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paragraph" w:styleId="19">
    <w:name w:val="Название объекта1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ConsPlusTitle">
    <w:name w:val="ConsPlusTitle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0">
    <w:name w:val="Маркированный •"/>
    <w:qFormat/>
  </w:style>
  <w:style w:type="numbering" w:styleId="Style51">
    <w:name w:val="Маркированный –"/>
    <w:qFormat/>
  </w:style>
  <w:style w:type="numbering" w:styleId="Style52">
    <w:name w:val="Маркированный "/>
    <w:qFormat/>
  </w:style>
  <w:style w:type="numbering" w:styleId="Style53">
    <w:name w:val="Маркированный "/>
    <w:qFormat/>
  </w:style>
  <w:style w:type="numbering" w:styleId="Style54">
    <w:name w:val="Маркированный "/>
    <w:qFormat/>
  </w:style>
  <w:style w:type="numbering" w:styleId="110">
    <w:name w:val="Нумерованный 1)"/>
    <w:qFormat/>
  </w:style>
  <w:style w:type="numbering" w:styleId="Style55">
    <w:name w:val="Нумерованный а)"/>
    <w:qFormat/>
  </w:style>
  <w:style w:type="numbering" w:styleId="Style56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LibreOffice/24.8.4.2$Linux_X86_64 LibreOffice_project/480$Build-2</Application>
  <AppVersion>15.0000</AppVersion>
  <Pages>2</Pages>
  <Words>564</Words>
  <Characters>3013</Characters>
  <CharactersWithSpaces>3569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2026-01-22T11:09:06Z</dcterms:created>
  <dc:creator/>
  <dc:description/>
  <dc:language>ru-RU</dc:language>
  <cp:lastModifiedBy/>
  <dcterms:modified xsi:type="dcterms:W3CDTF">2026-02-05T12:50:39Z</dcterms:modified>
  <cp:revision>15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