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B3" w:rsidRDefault="00412ACF" w:rsidP="00412ACF">
      <w:pPr>
        <w:widowControl/>
        <w:contextualSpacing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  <w:szCs w:val="28"/>
        </w:rPr>
        <w:t>ПОЯСНИТЕЛЬНАЯ ЗАПИСКА</w:t>
      </w:r>
    </w:p>
    <w:p w:rsidR="00AA1FB3" w:rsidRDefault="00412ACF" w:rsidP="00412ACF">
      <w:pPr>
        <w:widowControl/>
        <w:contextualSpacing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  <w:szCs w:val="28"/>
        </w:rPr>
        <w:t>к проекту закона Республики Татарстан</w:t>
      </w:r>
    </w:p>
    <w:p w:rsidR="00AA1FB3" w:rsidRDefault="00412ACF" w:rsidP="00412ACF">
      <w:pPr>
        <w:widowControl/>
        <w:contextualSpacing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  <w:szCs w:val="28"/>
        </w:rPr>
        <w:t>«О внесении измен</w:t>
      </w:r>
      <w:bookmarkStart w:id="0" w:name="_GoBack"/>
      <w:bookmarkEnd w:id="0"/>
      <w:r>
        <w:rPr>
          <w:rFonts w:ascii="Times New Roman" w:hAnsi="Times New Roman"/>
          <w:b/>
          <w:bCs/>
          <w:color w:val="000000" w:themeColor="text1"/>
          <w:szCs w:val="28"/>
        </w:rPr>
        <w:t xml:space="preserve">ений в статьи 3 и 5 Закона Республики Татарстан </w:t>
      </w:r>
    </w:p>
    <w:p w:rsidR="00AA1FB3" w:rsidRDefault="00412ACF" w:rsidP="00412ACF">
      <w:pPr>
        <w:widowControl/>
        <w:contextualSpacing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Cs w:val="28"/>
        </w:rPr>
        <w:t>«О налоге на имущество организаций»</w:t>
      </w:r>
    </w:p>
    <w:p w:rsidR="00AA1FB3" w:rsidRDefault="00AA1FB3">
      <w:pPr>
        <w:widowControl/>
        <w:ind w:firstLine="709"/>
        <w:contextualSpacing/>
        <w:rPr>
          <w:rFonts w:ascii="Times New Roman" w:hAnsi="Times New Roman"/>
          <w:bCs/>
          <w:color w:val="000000" w:themeColor="text1"/>
          <w:szCs w:val="28"/>
        </w:rPr>
      </w:pPr>
    </w:p>
    <w:p w:rsidR="00AA1FB3" w:rsidRDefault="00412ACF">
      <w:pPr>
        <w:pStyle w:val="1c"/>
        <w:spacing w:line="24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 xml:space="preserve">В соответствии с абзацем вторым пункта 2 статьи </w:t>
      </w:r>
      <w:r>
        <w:rPr>
          <w:color w:val="000000" w:themeColor="text1"/>
          <w:szCs w:val="28"/>
        </w:rPr>
        <w:t>372 Налогового кодекса Росси</w:t>
      </w:r>
      <w:r>
        <w:rPr>
          <w:color w:val="000000" w:themeColor="text1"/>
          <w:szCs w:val="28"/>
        </w:rPr>
        <w:t xml:space="preserve">йской Федерации при установлении налога на имущество организаций </w:t>
      </w:r>
      <w:r>
        <w:rPr>
          <w:color w:val="000000" w:themeColor="text1"/>
          <w:szCs w:val="28"/>
        </w:rPr>
        <w:t xml:space="preserve">законами субъектов Российской Федерации могут предусматриваться налоговые льготы, основания и порядок их применения налогоплательщиками. </w:t>
      </w:r>
    </w:p>
    <w:p w:rsidR="00AA1FB3" w:rsidRDefault="00412ACF">
      <w:pPr>
        <w:widowControl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bidi="ar-SA"/>
        </w:rPr>
        <w:t>Законопроект разработан с целью снизить налоговую наг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bidi="ar-SA"/>
        </w:rPr>
        <w:t>рузку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bidi="ar-SA"/>
        </w:rPr>
        <w:br/>
        <w:t xml:space="preserve">на инвестиционные проекты, направленные на строительство и эксплуатацию </w:t>
      </w:r>
      <w:r>
        <w:rPr>
          <w:rFonts w:ascii="Times New Roman" w:hAnsi="Times New Roman"/>
          <w:bCs/>
          <w:color w:val="000000"/>
          <w:szCs w:val="28"/>
        </w:rPr>
        <w:t xml:space="preserve"> автомобильных дорог общего пользования регионального или межмуниципального значения, автомобильных дорог общего пользования местного значения, частных автомобильных дорог общего пользования и сооружений, являющихся неотъемлемой технологической частью указ</w:t>
      </w:r>
      <w:r>
        <w:rPr>
          <w:rFonts w:ascii="Times New Roman" w:hAnsi="Times New Roman"/>
          <w:bCs/>
          <w:color w:val="000000"/>
          <w:szCs w:val="28"/>
        </w:rPr>
        <w:t xml:space="preserve">анных автомобильных дорог, созданных на основании концессионных соглашений или с использованием средств, полученных по договору займа, исполнение обязательств по которому обеспечено государственными гарантиями Республики Татарстан, 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bidi="ar-SA"/>
        </w:rPr>
        <w:t>и на образовательную инф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bidi="ar-SA"/>
        </w:rPr>
        <w:t>раструктуру города Иннополис.</w:t>
      </w:r>
    </w:p>
    <w:p w:rsidR="00AA1FB3" w:rsidRDefault="00412ACF">
      <w:pPr>
        <w:widowControl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bidi="ar-SA"/>
        </w:rPr>
        <w:t xml:space="preserve">На сегодняшний день на территории 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>Республики Татарстан эксплуатируются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br/>
        <w:t>два объекта, созданных в рамках концессионных соглашений: «Вознесенский тракт. Строительство платного участка от проспекта Победы до автомобильной дороги М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>-7 «Волга» в Советском районе г. Казани и Пестречинском муниципальном районе Республики Татарстан» и «Строительство автомобильной дороги «Алексеевское – Альметьевск» в рамках строительства платной автомагистрали «Шали (М-7) – Бавлы (М-5)» в развитие нового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 xml:space="preserve"> маршрута федеральной автомобильной дороги «Казань – Оренбург». Под действие льготы также подпадают две автодорожные инфраструктуры, </w:t>
      </w:r>
      <w:r>
        <w:rPr>
          <w:rFonts w:ascii="Times New Roman" w:hAnsi="Times New Roman"/>
          <w:bCs/>
          <w:color w:val="000000"/>
          <w:szCs w:val="28"/>
        </w:rPr>
        <w:t>созданные с использованием средств, полученных по договору займа, исполнение обязательств по которому обеспечено государст</w:t>
      </w:r>
      <w:r>
        <w:rPr>
          <w:rFonts w:ascii="Times New Roman" w:hAnsi="Times New Roman"/>
          <w:bCs/>
          <w:color w:val="000000"/>
          <w:szCs w:val="28"/>
        </w:rPr>
        <w:t xml:space="preserve">венными гарантиями Республики Татарстан: автодорога от дороги 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>«Йошкар-Ола – Зеленодольск» до границы города Казани и «реконструируемый участок Горьковского шоссе».</w:t>
      </w:r>
    </w:p>
    <w:p w:rsidR="00AA1FB3" w:rsidRDefault="00412ACF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>Предусматриваемой льготой по налогу на имущество организаций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br/>
        <w:t xml:space="preserve">в отношении объектов, </w:t>
      </w:r>
      <w:r>
        <w:rPr>
          <w:rFonts w:ascii="Times New Roman" w:hAnsi="Times New Roman"/>
          <w:bCs/>
          <w:color w:val="000000"/>
          <w:szCs w:val="28"/>
        </w:rPr>
        <w:t>являющихс</w:t>
      </w:r>
      <w:r>
        <w:rPr>
          <w:rFonts w:ascii="Times New Roman" w:hAnsi="Times New Roman"/>
          <w:bCs/>
          <w:color w:val="000000"/>
          <w:szCs w:val="28"/>
        </w:rPr>
        <w:t>я учебно-лабораторными корпусами,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 xml:space="preserve"> используемыми образовательными организациями высшего образования, 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>охватываются объекты, расположенные на территории города Иннополис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 xml:space="preserve">. </w:t>
      </w:r>
    </w:p>
    <w:p w:rsidR="00AA1FB3" w:rsidRDefault="00412ACF">
      <w:pPr>
        <w:widowControl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>Законодательная инициатива направлена на увеличение инвестиционной привлекательности республики в сфере автодорожного строительства, уменьшение затрат, компенсируемых из бюджета Республики Татарстан организациям на стадии эксплуатации, обеспечение доступны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 xml:space="preserve">х цен за проезд по платным участкам автомобильных дорог, а также на развитие </w:t>
      </w:r>
      <w:r>
        <w:rPr>
          <w:rFonts w:ascii="Times New Roman" w:eastAsia="Times New Roman" w:hAnsi="Times New Roman" w:cs="Times New Roman"/>
          <w:bCs/>
          <w:color w:val="000000" w:themeColor="text1"/>
          <w:szCs w:val="28"/>
          <w:lang w:bidi="ar-SA"/>
        </w:rPr>
        <w:t xml:space="preserve">образовательной 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bidi="ar-SA"/>
        </w:rPr>
        <w:t>и научной базы города Иннополис и укрепление IT-кластера Татарстана.</w:t>
      </w:r>
    </w:p>
    <w:sectPr w:rsidR="00AA1FB3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2ACF">
      <w:r>
        <w:separator/>
      </w:r>
    </w:p>
  </w:endnote>
  <w:endnote w:type="continuationSeparator" w:id="0">
    <w:p w:rsidR="00000000" w:rsidRDefault="0041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MV Boli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B3" w:rsidRDefault="00AA1FB3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2ACF">
      <w:r>
        <w:separator/>
      </w:r>
    </w:p>
  </w:footnote>
  <w:footnote w:type="continuationSeparator" w:id="0">
    <w:p w:rsidR="00000000" w:rsidRDefault="00412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B3" w:rsidRDefault="00412ACF">
    <w:pPr>
      <w:pStyle w:val="afff2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5BBD"/>
    <w:multiLevelType w:val="multilevel"/>
    <w:tmpl w:val="350690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1837C2"/>
    <w:multiLevelType w:val="multilevel"/>
    <w:tmpl w:val="9DDC99B4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9731059"/>
    <w:multiLevelType w:val="multilevel"/>
    <w:tmpl w:val="D9203596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FB3"/>
    <w:rsid w:val="00412ACF"/>
    <w:rsid w:val="009548B2"/>
    <w:rsid w:val="00AA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0EA9C-C99D-451A-8286-71496A37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498330112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"/>
    <w:next w:val="4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1">
    <w:name w:val="Нумерованный 4 начало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Нумерованный 4 конец"/>
    <w:basedOn w:val="aff"/>
    <w:next w:val="42"/>
    <w:qFormat/>
  </w:style>
  <w:style w:type="paragraph" w:customStyle="1" w:styleId="44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  <w:qFormat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paragraph" w:customStyle="1" w:styleId="1c">
    <w:name w:val="Ñòèëü1"/>
    <w:qFormat/>
    <w:pPr>
      <w:spacing w:line="288" w:lineRule="auto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d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Валиев И.Р.</cp:lastModifiedBy>
  <cp:revision>21</cp:revision>
  <dcterms:created xsi:type="dcterms:W3CDTF">2026-01-26T14:32:00Z</dcterms:created>
  <dcterms:modified xsi:type="dcterms:W3CDTF">2026-02-09T13:22:00Z</dcterms:modified>
  <dc:language>ru-RU</dc:language>
</cp:coreProperties>
</file>