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D57" w:rsidRPr="004B7D57" w:rsidRDefault="004B7D57" w:rsidP="00CE0443">
      <w:pPr>
        <w:pStyle w:val="Style1"/>
        <w:widowControl/>
        <w:spacing w:before="67"/>
        <w:ind w:left="768" w:right="965"/>
        <w:rPr>
          <w:rStyle w:val="FontStyle22"/>
          <w:sz w:val="28"/>
          <w:szCs w:val="28"/>
          <w:lang w:val="tt-RU"/>
        </w:rPr>
      </w:pPr>
      <w:r w:rsidRPr="004B7D57">
        <w:rPr>
          <w:rStyle w:val="FontStyle22"/>
          <w:sz w:val="28"/>
          <w:szCs w:val="28"/>
        </w:rPr>
        <w:t xml:space="preserve">“Татарстан </w:t>
      </w:r>
      <w:proofErr w:type="spellStart"/>
      <w:r w:rsidRPr="004B7D57">
        <w:rPr>
          <w:rStyle w:val="FontStyle22"/>
          <w:sz w:val="28"/>
          <w:szCs w:val="28"/>
        </w:rPr>
        <w:t>Республикасы</w:t>
      </w:r>
      <w:proofErr w:type="spellEnd"/>
      <w:r w:rsidRPr="004B7D57">
        <w:rPr>
          <w:rStyle w:val="FontStyle22"/>
          <w:sz w:val="28"/>
          <w:szCs w:val="28"/>
        </w:rPr>
        <w:t xml:space="preserve"> Арча </w:t>
      </w:r>
      <w:proofErr w:type="spellStart"/>
      <w:r w:rsidRPr="004B7D57">
        <w:rPr>
          <w:rStyle w:val="FontStyle22"/>
          <w:sz w:val="28"/>
          <w:szCs w:val="28"/>
        </w:rPr>
        <w:t>муниципаль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районының</w:t>
      </w:r>
      <w:proofErr w:type="spellEnd"/>
      <w:r w:rsidRPr="004B7D57">
        <w:rPr>
          <w:rStyle w:val="FontStyle22"/>
          <w:sz w:val="28"/>
          <w:szCs w:val="28"/>
        </w:rPr>
        <w:t xml:space="preserve"> Сарай-</w:t>
      </w:r>
      <w:proofErr w:type="spellStart"/>
      <w:r w:rsidRPr="004B7D57">
        <w:rPr>
          <w:rStyle w:val="FontStyle22"/>
          <w:sz w:val="28"/>
          <w:szCs w:val="28"/>
        </w:rPr>
        <w:t>Чокырча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тимер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юл</w:t>
      </w:r>
      <w:proofErr w:type="spellEnd"/>
      <w:r w:rsidRPr="004B7D57">
        <w:rPr>
          <w:rStyle w:val="FontStyle22"/>
          <w:sz w:val="28"/>
          <w:szCs w:val="28"/>
        </w:rPr>
        <w:t xml:space="preserve"> разъезды </w:t>
      </w:r>
      <w:proofErr w:type="spellStart"/>
      <w:r w:rsidRPr="004B7D57">
        <w:rPr>
          <w:rStyle w:val="FontStyle22"/>
          <w:sz w:val="28"/>
          <w:szCs w:val="28"/>
        </w:rPr>
        <w:t>торак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пунктын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бетерү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һәм</w:t>
      </w:r>
      <w:proofErr w:type="spellEnd"/>
      <w:r w:rsidRPr="004B7D57">
        <w:rPr>
          <w:rStyle w:val="FontStyle22"/>
          <w:sz w:val="28"/>
          <w:szCs w:val="28"/>
        </w:rPr>
        <w:t xml:space="preserve"> “Арча </w:t>
      </w:r>
      <w:proofErr w:type="spellStart"/>
      <w:r w:rsidRPr="004B7D57">
        <w:rPr>
          <w:rStyle w:val="FontStyle22"/>
          <w:sz w:val="28"/>
          <w:szCs w:val="28"/>
        </w:rPr>
        <w:t>муниципаль</w:t>
      </w:r>
      <w:proofErr w:type="spellEnd"/>
      <w:r w:rsidRPr="004B7D57">
        <w:rPr>
          <w:rStyle w:val="FontStyle22"/>
          <w:sz w:val="28"/>
          <w:szCs w:val="28"/>
        </w:rPr>
        <w:t xml:space="preserve"> районы” </w:t>
      </w:r>
      <w:proofErr w:type="spellStart"/>
      <w:r w:rsidRPr="004B7D57">
        <w:rPr>
          <w:rStyle w:val="FontStyle22"/>
          <w:sz w:val="28"/>
          <w:szCs w:val="28"/>
        </w:rPr>
        <w:t>муниципаль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берәмлегенең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һәм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аның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составындагы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муниципаль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берәмлекләрнең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территорияләре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чикләрен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билгеләү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һәм</w:t>
      </w:r>
      <w:proofErr w:type="spellEnd"/>
      <w:r w:rsidRPr="004B7D57">
        <w:rPr>
          <w:rStyle w:val="FontStyle22"/>
          <w:sz w:val="28"/>
          <w:szCs w:val="28"/>
        </w:rPr>
        <w:t xml:space="preserve"> </w:t>
      </w:r>
      <w:proofErr w:type="spellStart"/>
      <w:r w:rsidRPr="004B7D57">
        <w:rPr>
          <w:rStyle w:val="FontStyle22"/>
          <w:sz w:val="28"/>
          <w:szCs w:val="28"/>
        </w:rPr>
        <w:t>аларның</w:t>
      </w:r>
      <w:proofErr w:type="spellEnd"/>
      <w:r w:rsidRPr="004B7D57">
        <w:rPr>
          <w:rStyle w:val="FontStyle22"/>
          <w:sz w:val="28"/>
          <w:szCs w:val="28"/>
        </w:rPr>
        <w:t xml:space="preserve"> статусы </w:t>
      </w:r>
      <w:proofErr w:type="spellStart"/>
      <w:r w:rsidRPr="004B7D57">
        <w:rPr>
          <w:rStyle w:val="FontStyle22"/>
          <w:sz w:val="28"/>
          <w:szCs w:val="28"/>
        </w:rPr>
        <w:t>турында</w:t>
      </w:r>
      <w:proofErr w:type="spellEnd"/>
      <w:r w:rsidRPr="004B7D57">
        <w:rPr>
          <w:rStyle w:val="FontStyle22"/>
          <w:sz w:val="28"/>
          <w:szCs w:val="28"/>
        </w:rPr>
        <w:t>”</w:t>
      </w:r>
      <w:r>
        <w:rPr>
          <w:rStyle w:val="FontStyle22"/>
          <w:sz w:val="28"/>
          <w:szCs w:val="28"/>
        </w:rPr>
        <w:t xml:space="preserve"> Татарстан </w:t>
      </w:r>
      <w:proofErr w:type="spellStart"/>
      <w:r>
        <w:rPr>
          <w:rStyle w:val="FontStyle22"/>
          <w:sz w:val="28"/>
          <w:szCs w:val="28"/>
        </w:rPr>
        <w:t>Республикасы</w:t>
      </w:r>
      <w:proofErr w:type="spellEnd"/>
      <w:r>
        <w:rPr>
          <w:rStyle w:val="FontStyle22"/>
          <w:sz w:val="28"/>
          <w:szCs w:val="28"/>
        </w:rPr>
        <w:t xml:space="preserve"> Законы </w:t>
      </w:r>
      <w:proofErr w:type="spellStart"/>
      <w:r>
        <w:rPr>
          <w:rStyle w:val="FontStyle22"/>
          <w:sz w:val="28"/>
          <w:szCs w:val="28"/>
        </w:rPr>
        <w:t>проектына</w:t>
      </w:r>
      <w:proofErr w:type="spellEnd"/>
      <w:r>
        <w:rPr>
          <w:rStyle w:val="FontStyle22"/>
          <w:sz w:val="28"/>
          <w:szCs w:val="28"/>
        </w:rPr>
        <w:t xml:space="preserve"> </w:t>
      </w:r>
      <w:proofErr w:type="spellStart"/>
      <w:r>
        <w:rPr>
          <w:rStyle w:val="FontStyle22"/>
          <w:sz w:val="28"/>
          <w:szCs w:val="28"/>
        </w:rPr>
        <w:t>чагыштыру</w:t>
      </w:r>
      <w:proofErr w:type="spellEnd"/>
      <w:r>
        <w:rPr>
          <w:rStyle w:val="FontStyle22"/>
          <w:sz w:val="28"/>
          <w:szCs w:val="28"/>
        </w:rPr>
        <w:t xml:space="preserve"> </w:t>
      </w:r>
      <w:proofErr w:type="spellStart"/>
      <w:r>
        <w:rPr>
          <w:rStyle w:val="FontStyle22"/>
          <w:sz w:val="28"/>
          <w:szCs w:val="28"/>
        </w:rPr>
        <w:t>табли</w:t>
      </w:r>
      <w:proofErr w:type="spellEnd"/>
      <w:r>
        <w:rPr>
          <w:rStyle w:val="FontStyle22"/>
          <w:sz w:val="28"/>
          <w:szCs w:val="28"/>
          <w:lang w:val="tt-RU"/>
        </w:rPr>
        <w:t>цасы</w:t>
      </w:r>
    </w:p>
    <w:p w:rsidR="00C837E4" w:rsidRPr="00567399" w:rsidRDefault="00C837E4" w:rsidP="00CE0443">
      <w:pPr>
        <w:spacing w:after="552" w:line="1" w:lineRule="exact"/>
        <w:jc w:val="center"/>
        <w:rPr>
          <w:sz w:val="28"/>
          <w:szCs w:val="28"/>
        </w:rPr>
      </w:pPr>
    </w:p>
    <w:tbl>
      <w:tblPr>
        <w:tblW w:w="150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5846"/>
        <w:gridCol w:w="2419"/>
        <w:gridCol w:w="6134"/>
      </w:tblGrid>
      <w:tr w:rsidR="00C837E4" w:rsidRPr="00D76510" w:rsidTr="0091604A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7E4" w:rsidRPr="00567399" w:rsidRDefault="00C837E4" w:rsidP="004B7D57">
            <w:pPr>
              <w:pStyle w:val="Style3"/>
              <w:widowControl/>
              <w:ind w:left="5" w:hanging="5"/>
              <w:rPr>
                <w:rStyle w:val="FontStyle23"/>
                <w:sz w:val="28"/>
                <w:szCs w:val="28"/>
              </w:rPr>
            </w:pPr>
            <w:r w:rsidRPr="00567399">
              <w:rPr>
                <w:rStyle w:val="FontStyle23"/>
                <w:sz w:val="28"/>
                <w:szCs w:val="28"/>
              </w:rPr>
              <w:t xml:space="preserve">№ 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7E4" w:rsidRPr="00567399" w:rsidRDefault="004B7D57" w:rsidP="00BA192D">
            <w:pPr>
              <w:pStyle w:val="Style3"/>
              <w:widowControl/>
              <w:spacing w:line="240" w:lineRule="auto"/>
              <w:ind w:left="1402"/>
              <w:jc w:val="left"/>
              <w:rPr>
                <w:rStyle w:val="FontStyle23"/>
                <w:sz w:val="28"/>
                <w:szCs w:val="28"/>
              </w:rPr>
            </w:pPr>
            <w:proofErr w:type="spellStart"/>
            <w:r w:rsidRPr="004B7D57">
              <w:rPr>
                <w:rStyle w:val="FontStyle23"/>
                <w:sz w:val="28"/>
                <w:szCs w:val="28"/>
              </w:rPr>
              <w:t>Гамәлдәге</w:t>
            </w:r>
            <w:proofErr w:type="spellEnd"/>
            <w:r w:rsidRPr="004B7D57">
              <w:rPr>
                <w:rStyle w:val="FontStyle23"/>
                <w:sz w:val="28"/>
                <w:szCs w:val="28"/>
              </w:rPr>
              <w:t xml:space="preserve"> редакция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7E4" w:rsidRPr="004B7D57" w:rsidRDefault="004B7D57" w:rsidP="00BA192D">
            <w:pPr>
              <w:pStyle w:val="Style3"/>
              <w:widowControl/>
              <w:ind w:left="235"/>
              <w:jc w:val="left"/>
              <w:rPr>
                <w:rStyle w:val="FontStyle23"/>
                <w:sz w:val="28"/>
                <w:szCs w:val="28"/>
                <w:lang w:val="tt-RU"/>
              </w:rPr>
            </w:pPr>
            <w:r>
              <w:rPr>
                <w:rStyle w:val="FontStyle23"/>
                <w:sz w:val="28"/>
                <w:szCs w:val="28"/>
                <w:lang w:val="tt-RU"/>
              </w:rPr>
              <w:t>Тәкъдим ителүче үзгәрешләр</w:t>
            </w:r>
          </w:p>
        </w:tc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7E4" w:rsidRPr="004B7D57" w:rsidRDefault="004B7D57" w:rsidP="004B7D57">
            <w:pPr>
              <w:pStyle w:val="Style3"/>
              <w:widowControl/>
              <w:spacing w:line="240" w:lineRule="auto"/>
              <w:ind w:left="278"/>
              <w:jc w:val="left"/>
              <w:rPr>
                <w:rStyle w:val="FontStyle23"/>
                <w:sz w:val="28"/>
                <w:szCs w:val="28"/>
                <w:lang w:val="tt-RU"/>
              </w:rPr>
            </w:pPr>
            <w:r w:rsidRPr="004B7D57">
              <w:rPr>
                <w:rStyle w:val="FontStyle23"/>
                <w:sz w:val="28"/>
                <w:szCs w:val="28"/>
                <w:lang w:val="tt-RU"/>
              </w:rPr>
              <w:t xml:space="preserve">Тәкъдим ителгән үзгәрешләрне исәпкә алып </w:t>
            </w:r>
            <w:r>
              <w:rPr>
                <w:rStyle w:val="FontStyle23"/>
                <w:sz w:val="28"/>
                <w:szCs w:val="28"/>
                <w:lang w:val="tt-RU"/>
              </w:rPr>
              <w:t>эшләнгән р</w:t>
            </w:r>
            <w:r w:rsidRPr="004B7D57">
              <w:rPr>
                <w:rStyle w:val="FontStyle23"/>
                <w:sz w:val="28"/>
                <w:szCs w:val="28"/>
                <w:lang w:val="tt-RU"/>
              </w:rPr>
              <w:t>едакция</w:t>
            </w:r>
            <w:r>
              <w:rPr>
                <w:rStyle w:val="FontStyle23"/>
                <w:sz w:val="28"/>
                <w:szCs w:val="28"/>
                <w:lang w:val="tt-RU"/>
              </w:rPr>
              <w:t>дә</w:t>
            </w:r>
          </w:p>
        </w:tc>
      </w:tr>
      <w:tr w:rsidR="0091604A" w:rsidRPr="00567399" w:rsidTr="0091604A">
        <w:trPr>
          <w:trHeight w:val="378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4A" w:rsidRPr="00567399" w:rsidRDefault="0091604A" w:rsidP="0091604A">
            <w:pPr>
              <w:pStyle w:val="Style5"/>
              <w:widowControl/>
              <w:jc w:val="both"/>
              <w:rPr>
                <w:rStyle w:val="FontStyle22"/>
                <w:spacing w:val="30"/>
                <w:sz w:val="28"/>
                <w:szCs w:val="28"/>
              </w:rPr>
            </w:pPr>
            <w:r w:rsidRPr="00567399">
              <w:rPr>
                <w:rStyle w:val="FontStyle22"/>
                <w:spacing w:val="30"/>
                <w:sz w:val="28"/>
                <w:szCs w:val="28"/>
              </w:rPr>
              <w:t>1.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D57" w:rsidRPr="004B7D57" w:rsidRDefault="004B7D57" w:rsidP="004B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3 с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татья</w:t>
            </w:r>
            <w:proofErr w:type="spellEnd"/>
            <w:r w:rsidR="0091604A" w:rsidRPr="009160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“</w:t>
            </w:r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Арча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”</w:t>
            </w:r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берәмлеге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составына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керүче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түбәндәге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берәмлекләрнең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территорияләре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чикләрен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карта-схема (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әлеге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законга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нче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кушымта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һәм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чикләрнең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картографик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тасвирламасы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әлеге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законга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4 - 32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нче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кушымталар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нигезендә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билгеләргә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аларга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авыл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җирлеге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статусы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бирергә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һәм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административ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үзәкләрне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билгеләргә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4B7D57" w:rsidRDefault="004B7D57" w:rsidP="00454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...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Урта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Курса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авыл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җирлеге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Урта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Курса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авылы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административ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үзәк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Курса, Сарай-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Чокырча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Алан, 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о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райван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Түбән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Курса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авыллары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E315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Сарай-</w:t>
            </w:r>
            <w:proofErr w:type="spellStart"/>
            <w:r w:rsidRPr="005E315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Чокырча</w:t>
            </w:r>
            <w:proofErr w:type="spellEnd"/>
            <w:r w:rsidRPr="005E315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315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тимер</w:t>
            </w:r>
            <w:proofErr w:type="spellEnd"/>
            <w:r w:rsidRPr="005E315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315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юл</w:t>
            </w:r>
            <w:proofErr w:type="spellEnd"/>
            <w:r w:rsidRPr="005E315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разъезды;</w:t>
            </w:r>
          </w:p>
          <w:p w:rsidR="0091604A" w:rsidRPr="00FD73F5" w:rsidRDefault="0091604A" w:rsidP="004B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D57" w:rsidRDefault="004B7D57" w:rsidP="0091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1604A" w:rsidRPr="0091604A" w:rsidRDefault="004B7D57" w:rsidP="0091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статьяның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унынчы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абзацында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“</w:t>
            </w:r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Сарай-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Чокырча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тимер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юл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разъездын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”</w:t>
            </w:r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сүзләрен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төшереп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калдырырга</w:t>
            </w:r>
            <w:proofErr w:type="spellEnd"/>
            <w:r w:rsidRPr="004B7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  <w:r w:rsidR="0091604A" w:rsidRPr="009160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91604A" w:rsidRPr="0091604A" w:rsidRDefault="0091604A" w:rsidP="0091604A">
            <w:pPr>
              <w:pStyle w:val="Style3"/>
              <w:widowControl/>
              <w:spacing w:line="326" w:lineRule="exact"/>
              <w:jc w:val="left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D57" w:rsidRPr="004B7D57" w:rsidRDefault="004B7D57" w:rsidP="004B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Style w:val="FontStyle22"/>
                <w:b w:val="0"/>
                <w:sz w:val="28"/>
                <w:szCs w:val="28"/>
              </w:rPr>
            </w:pPr>
            <w:r w:rsidRPr="004B7D57">
              <w:rPr>
                <w:rStyle w:val="FontStyle22"/>
                <w:b w:val="0"/>
                <w:sz w:val="28"/>
                <w:szCs w:val="28"/>
              </w:rPr>
              <w:t xml:space="preserve">3 </w:t>
            </w:r>
            <w:r>
              <w:rPr>
                <w:rStyle w:val="FontStyle22"/>
                <w:b w:val="0"/>
                <w:sz w:val="28"/>
                <w:szCs w:val="28"/>
                <w:lang w:val="tt-RU"/>
              </w:rPr>
              <w:t>с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татья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. </w:t>
            </w:r>
            <w:r>
              <w:rPr>
                <w:rStyle w:val="FontStyle22"/>
                <w:b w:val="0"/>
                <w:sz w:val="28"/>
                <w:szCs w:val="28"/>
                <w:lang w:val="tt-RU"/>
              </w:rPr>
              <w:t>“</w:t>
            </w:r>
            <w:r w:rsidRPr="004B7D57">
              <w:rPr>
                <w:rStyle w:val="FontStyle22"/>
                <w:b w:val="0"/>
                <w:sz w:val="28"/>
                <w:szCs w:val="28"/>
              </w:rPr>
              <w:t xml:space="preserve">Арча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муниципаль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районы</w:t>
            </w:r>
            <w:r>
              <w:rPr>
                <w:rStyle w:val="FontStyle22"/>
                <w:b w:val="0"/>
                <w:sz w:val="28"/>
                <w:szCs w:val="28"/>
                <w:lang w:val="tt-RU"/>
              </w:rPr>
              <w:t>”</w:t>
            </w:r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муниципаль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берәмлеге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составына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керүче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түбәндәге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муниципаль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берәмлекләрнең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территорияләре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чикләрен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карта-схема (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әлеге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законга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1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нче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кушымта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)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һәм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чикләрнең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картографик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тасвирламасы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(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әлеге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законга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4 - 32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нче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кушымталар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)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нигезендә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билгеләргә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,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аларга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авыл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җирлеге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статусы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бирергә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һәм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административ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үзәкләрне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билгеләргә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: </w:t>
            </w:r>
          </w:p>
          <w:p w:rsidR="0091604A" w:rsidRPr="0091604A" w:rsidRDefault="004B7D57" w:rsidP="004B7D57">
            <w:pPr>
              <w:pStyle w:val="Style4"/>
              <w:widowControl/>
              <w:spacing w:line="322" w:lineRule="exact"/>
              <w:ind w:firstLine="571"/>
              <w:rPr>
                <w:rStyle w:val="FontStyle23"/>
                <w:sz w:val="28"/>
                <w:szCs w:val="28"/>
              </w:rPr>
            </w:pPr>
            <w:r w:rsidRPr="004B7D57">
              <w:rPr>
                <w:rStyle w:val="FontStyle22"/>
                <w:b w:val="0"/>
                <w:sz w:val="28"/>
                <w:szCs w:val="28"/>
              </w:rPr>
              <w:t xml:space="preserve">...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Урта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Курса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авыл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җирлеге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: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Урта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Курса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авылы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(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административ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үзәк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),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Югары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Курса, Сарай-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Чокырча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>, Алан, К</w:t>
            </w:r>
            <w:r>
              <w:rPr>
                <w:rStyle w:val="FontStyle22"/>
                <w:b w:val="0"/>
                <w:sz w:val="28"/>
                <w:szCs w:val="28"/>
                <w:lang w:val="tt-RU"/>
              </w:rPr>
              <w:t>о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райван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,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Түбән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 xml:space="preserve"> Курса </w:t>
            </w:r>
            <w:proofErr w:type="spellStart"/>
            <w:r w:rsidRPr="004B7D57">
              <w:rPr>
                <w:rStyle w:val="FontStyle22"/>
                <w:b w:val="0"/>
                <w:sz w:val="28"/>
                <w:szCs w:val="28"/>
              </w:rPr>
              <w:t>авыллары</w:t>
            </w:r>
            <w:proofErr w:type="spellEnd"/>
            <w:r w:rsidRPr="004B7D57">
              <w:rPr>
                <w:rStyle w:val="FontStyle22"/>
                <w:b w:val="0"/>
                <w:sz w:val="28"/>
                <w:szCs w:val="28"/>
              </w:rPr>
              <w:t>;</w:t>
            </w:r>
          </w:p>
        </w:tc>
      </w:tr>
      <w:tr w:rsidR="004545CF" w:rsidRPr="00567399" w:rsidTr="0091604A">
        <w:trPr>
          <w:trHeight w:val="378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CF" w:rsidRPr="00567399" w:rsidRDefault="004545CF" w:rsidP="0091604A">
            <w:pPr>
              <w:pStyle w:val="Style5"/>
              <w:widowControl/>
              <w:jc w:val="both"/>
              <w:rPr>
                <w:rStyle w:val="FontStyle22"/>
                <w:spacing w:val="30"/>
                <w:sz w:val="28"/>
                <w:szCs w:val="28"/>
              </w:rPr>
            </w:pPr>
            <w:r>
              <w:rPr>
                <w:rStyle w:val="FontStyle22"/>
                <w:spacing w:val="30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CF" w:rsidRDefault="004545CF" w:rsidP="004B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4545CF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06033" cy="4699000"/>
                  <wp:effectExtent l="0" t="0" r="0" b="6350"/>
                  <wp:docPr id="1" name="Рисунок 1" descr="C:\Users\work\Desktop\Арский_карта-схема_ЗРТ_2014_та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rk\Desktop\Арский_карта-схема_ЗРТ_2014_та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870" cy="474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CF" w:rsidRDefault="004545CF" w:rsidP="0091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CF" w:rsidRPr="004B7D57" w:rsidRDefault="00D76510" w:rsidP="004B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Style w:val="FontStyle22"/>
                <w:b w:val="0"/>
                <w:sz w:val="28"/>
                <w:szCs w:val="28"/>
              </w:rPr>
            </w:pPr>
            <w:bookmarkStart w:id="0" w:name="_GoBack"/>
            <w:bookmarkEnd w:id="0"/>
            <w:r w:rsidRPr="00D76510">
              <w:rPr>
                <w:rStyle w:val="FontStyle22"/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45304" cy="5275580"/>
                  <wp:effectExtent l="0" t="0" r="3175" b="1270"/>
                  <wp:docPr id="3" name="Рисунок 3" descr="C:\Users\work\Desktop\РАБОТА-2026\Сарай-Чекурча\Упразднение  Сарай-Чекурча\Арский_закон-2025_та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rk\Desktop\РАБОТА-2026\Сарай-Чекурча\Упразднение  Сарай-Чекурча\Арский_закон-2025_та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279" cy="5315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1CC" w:rsidRPr="00567399" w:rsidTr="005E3153">
        <w:trPr>
          <w:trHeight w:val="267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CC" w:rsidRPr="005E3153" w:rsidRDefault="005E3153" w:rsidP="0091604A">
            <w:pPr>
              <w:pStyle w:val="Style5"/>
              <w:widowControl/>
              <w:jc w:val="both"/>
              <w:rPr>
                <w:rStyle w:val="FontStyle22"/>
                <w:spacing w:val="30"/>
                <w:sz w:val="28"/>
                <w:szCs w:val="28"/>
                <w:lang w:val="tt-RU"/>
              </w:rPr>
            </w:pPr>
            <w:r>
              <w:rPr>
                <w:rStyle w:val="FontStyle22"/>
                <w:spacing w:val="30"/>
                <w:sz w:val="28"/>
                <w:szCs w:val="28"/>
                <w:lang w:val="tt-RU"/>
              </w:rPr>
              <w:lastRenderedPageBreak/>
              <w:t>3.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153" w:rsidRPr="00D76510" w:rsidRDefault="005E3153" w:rsidP="005E3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765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«Арча муниципаль районы» муниципаль бер</w:t>
            </w:r>
            <w:r w:rsidRPr="005E315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ә</w:t>
            </w:r>
            <w:r w:rsidRPr="00D765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млеге </w:t>
            </w:r>
          </w:p>
          <w:p w:rsidR="005E3153" w:rsidRPr="00D76510" w:rsidRDefault="005E3153" w:rsidP="005E3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765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составына кер</w:t>
            </w:r>
            <w:r w:rsidRPr="005E3153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val="tt-RU" w:eastAsia="ru-RU"/>
              </w:rPr>
              <w:t>ә</w:t>
            </w:r>
            <w:r w:rsidRPr="00D765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торган ш</w:t>
            </w:r>
            <w:r w:rsidRPr="00D76510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val="tt-RU" w:eastAsia="ru-RU"/>
              </w:rPr>
              <w:t>ә</w:t>
            </w:r>
            <w:r w:rsidRPr="00D765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һ</w:t>
            </w:r>
            <w:r w:rsidRPr="00D76510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val="tt-RU" w:eastAsia="ru-RU"/>
              </w:rPr>
              <w:t>ә</w:t>
            </w:r>
            <w:r w:rsidRPr="00D765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 һ</w:t>
            </w:r>
            <w:r w:rsidRPr="00D76510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val="tt-RU" w:eastAsia="ru-RU"/>
              </w:rPr>
              <w:t>ә</w:t>
            </w:r>
            <w:r w:rsidRPr="00D765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m авыл җирлекл</w:t>
            </w:r>
            <w:r w:rsidRPr="00D76510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val="tt-RU" w:eastAsia="ru-RU"/>
              </w:rPr>
              <w:t>ә</w:t>
            </w:r>
            <w:r w:rsidRPr="00D765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ре</w:t>
            </w:r>
          </w:p>
          <w:p w:rsidR="005E3153" w:rsidRPr="00D76510" w:rsidRDefault="005E3153" w:rsidP="005E3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tbl>
            <w:tblPr>
              <w:tblpPr w:leftFromText="180" w:rightFromText="180" w:bottomFromText="160" w:vertAnchor="text" w:horzAnchor="margin" w:tblpY="46"/>
              <w:tblOverlap w:val="never"/>
              <w:tblW w:w="5754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50"/>
              <w:gridCol w:w="4804"/>
            </w:tblGrid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Карта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схемадагы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№ 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бер</w:t>
                  </w:r>
                  <w:r w:rsidRPr="005E3153">
                    <w:rPr>
                      <w:rFonts w:ascii="Times New Roman" w:eastAsia="Calibri" w:hAnsi="Times New Roman" w:cs="Times New Roman"/>
                      <w:bCs/>
                      <w:spacing w:val="-4"/>
                      <w:sz w:val="28"/>
                      <w:szCs w:val="28"/>
                      <w:lang w:eastAsia="ru-RU"/>
                    </w:rPr>
                    <w:t>ә</w:t>
                  </w: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млекл</w:t>
                  </w:r>
                  <w:r w:rsidRPr="005E3153">
                    <w:rPr>
                      <w:rFonts w:ascii="Times New Roman" w:eastAsia="Calibri" w:hAnsi="Times New Roman" w:cs="Times New Roman"/>
                      <w:bCs/>
                      <w:spacing w:val="-4"/>
                      <w:sz w:val="28"/>
                      <w:szCs w:val="28"/>
                      <w:lang w:eastAsia="ru-RU"/>
                    </w:rPr>
                    <w:t>ә</w:t>
                  </w: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334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Арча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шәһәре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86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Апаз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Кәче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Наласа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Яңа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Кенәр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Яңа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Кишет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86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Яңа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Кырлай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Сеҗе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Урта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Аты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Урта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Курса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Иске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Кырлай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86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Иске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Чүриле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13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Ташкичү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Үрнәк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Утар-Аты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86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Шушмабаш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3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8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Яңасала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</w:tbl>
          <w:p w:rsidR="00B521CC" w:rsidRPr="004545CF" w:rsidRDefault="00B521CC" w:rsidP="004B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CC" w:rsidRDefault="00B521CC" w:rsidP="0091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153" w:rsidRPr="005E3153" w:rsidRDefault="005E3153" w:rsidP="005E3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«Арча </w:t>
            </w:r>
            <w:proofErr w:type="spellStart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районы» </w:t>
            </w:r>
            <w:proofErr w:type="spellStart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>бер</w:t>
            </w:r>
            <w:proofErr w:type="spellEnd"/>
            <w:r w:rsidRPr="005E315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>млеге</w:t>
            </w:r>
            <w:proofErr w:type="spellEnd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E3153" w:rsidRPr="005E3153" w:rsidRDefault="005E3153" w:rsidP="005E3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>составына</w:t>
            </w:r>
            <w:proofErr w:type="spellEnd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>кер</w:t>
            </w:r>
            <w:proofErr w:type="spellEnd"/>
            <w:r w:rsidRPr="005E3153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val="tt-RU" w:eastAsia="ru-RU"/>
              </w:rPr>
              <w:t>ә</w:t>
            </w:r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>торган</w:t>
            </w:r>
            <w:proofErr w:type="spellEnd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5E3153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ru-RU"/>
              </w:rPr>
              <w:t>ә</w:t>
            </w:r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>һ</w:t>
            </w:r>
            <w:r w:rsidRPr="005E3153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ru-RU"/>
              </w:rPr>
              <w:t>ә</w:t>
            </w:r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>һ</w:t>
            </w:r>
            <w:r w:rsidRPr="005E3153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ru-RU"/>
              </w:rPr>
              <w:t>ә</w:t>
            </w:r>
            <w:proofErr w:type="spellEnd"/>
            <w:r w:rsidRPr="005E31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</w:t>
            </w:r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>авыл</w:t>
            </w:r>
            <w:proofErr w:type="spellEnd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>җирлекл</w:t>
            </w:r>
            <w:r w:rsidRPr="005E3153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ru-RU"/>
              </w:rPr>
              <w:t>ә</w:t>
            </w:r>
            <w:r w:rsidRPr="005E3153">
              <w:rPr>
                <w:rFonts w:ascii="Times New Roman" w:eastAsia="Calibri" w:hAnsi="Times New Roman" w:cs="Times New Roman"/>
                <w:sz w:val="28"/>
                <w:szCs w:val="28"/>
              </w:rPr>
              <w:t>ре</w:t>
            </w:r>
            <w:proofErr w:type="spellEnd"/>
          </w:p>
          <w:p w:rsidR="005E3153" w:rsidRPr="005E3153" w:rsidRDefault="005E3153" w:rsidP="005E3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bottomFromText="160" w:vertAnchor="text" w:horzAnchor="margin" w:tblpY="46"/>
              <w:tblOverlap w:val="never"/>
              <w:tblW w:w="5802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50"/>
              <w:gridCol w:w="4852"/>
            </w:tblGrid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Карта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схемадагы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№ 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бер</w:t>
                  </w:r>
                  <w:r w:rsidRPr="005E3153">
                    <w:rPr>
                      <w:rFonts w:ascii="Times New Roman" w:eastAsia="Calibri" w:hAnsi="Times New Roman" w:cs="Times New Roman"/>
                      <w:bCs/>
                      <w:spacing w:val="-4"/>
                      <w:sz w:val="28"/>
                      <w:szCs w:val="28"/>
                      <w:lang w:eastAsia="ru-RU"/>
                    </w:rPr>
                    <w:t>ә</w:t>
                  </w: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млекл</w:t>
                  </w:r>
                  <w:r w:rsidRPr="005E3153">
                    <w:rPr>
                      <w:rFonts w:ascii="Times New Roman" w:eastAsia="Calibri" w:hAnsi="Times New Roman" w:cs="Times New Roman"/>
                      <w:bCs/>
                      <w:spacing w:val="-4"/>
                      <w:sz w:val="28"/>
                      <w:szCs w:val="28"/>
                      <w:lang w:eastAsia="ru-RU"/>
                    </w:rPr>
                    <w:t>ә</w:t>
                  </w: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334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Арча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шәһәре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86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Апаз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Кәче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Наласа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Яңа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Кенәр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Яңа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Кишет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86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Яңа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Кырлай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Сеҗе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Урта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Аты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</w:rPr>
                    <w:t>Урта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</w:rPr>
                    <w:t xml:space="preserve"> Курса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Иске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Кырлай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86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Иске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Чүриле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13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Ташкичү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Үрнәк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9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Утар-Аты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86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Шушмабаш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  <w:tr w:rsidR="005E3153" w:rsidRPr="005E3153" w:rsidTr="005E3153">
              <w:trPr>
                <w:trHeight w:val="239"/>
              </w:trPr>
              <w:tc>
                <w:tcPr>
                  <w:tcW w:w="9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E3153" w:rsidRPr="005E3153" w:rsidRDefault="005E3153" w:rsidP="005E3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5E3153" w:rsidRPr="005E3153" w:rsidRDefault="005E3153" w:rsidP="005E31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Яңасала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авыл</w:t>
                  </w:r>
                  <w:proofErr w:type="spellEnd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31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җирлеге</w:t>
                  </w:r>
                  <w:proofErr w:type="spellEnd"/>
                </w:p>
              </w:tc>
            </w:tr>
          </w:tbl>
          <w:p w:rsidR="00B521CC" w:rsidRDefault="00B521CC" w:rsidP="004B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noProof/>
                <w:lang w:eastAsia="ru-RU"/>
              </w:rPr>
            </w:pPr>
          </w:p>
        </w:tc>
      </w:tr>
    </w:tbl>
    <w:p w:rsidR="002E37FA" w:rsidRDefault="002E37FA" w:rsidP="002E37FA"/>
    <w:p w:rsidR="003922F9" w:rsidRPr="002E37FA" w:rsidRDefault="003922F9" w:rsidP="002E37FA"/>
    <w:sectPr w:rsidR="003922F9" w:rsidRPr="002E37FA" w:rsidSect="00FA7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13F0"/>
    <w:multiLevelType w:val="hybridMultilevel"/>
    <w:tmpl w:val="0EE48BD6"/>
    <w:lvl w:ilvl="0" w:tplc="89223F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B3"/>
    <w:rsid w:val="001265AF"/>
    <w:rsid w:val="00156D88"/>
    <w:rsid w:val="002E37FA"/>
    <w:rsid w:val="003220DE"/>
    <w:rsid w:val="003922F9"/>
    <w:rsid w:val="003B6D99"/>
    <w:rsid w:val="004545CF"/>
    <w:rsid w:val="00485454"/>
    <w:rsid w:val="004B7D57"/>
    <w:rsid w:val="00560578"/>
    <w:rsid w:val="005E3153"/>
    <w:rsid w:val="006519FA"/>
    <w:rsid w:val="00666036"/>
    <w:rsid w:val="006B51DE"/>
    <w:rsid w:val="0091604A"/>
    <w:rsid w:val="00B521CC"/>
    <w:rsid w:val="00B56FF0"/>
    <w:rsid w:val="00C061B3"/>
    <w:rsid w:val="00C837E4"/>
    <w:rsid w:val="00CB7F29"/>
    <w:rsid w:val="00CE0443"/>
    <w:rsid w:val="00D76510"/>
    <w:rsid w:val="00DA4956"/>
    <w:rsid w:val="00E25795"/>
    <w:rsid w:val="00F56F39"/>
    <w:rsid w:val="00FA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5E81B-BE27-4EC5-A20B-00A65101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784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2E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837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83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837E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837E4"/>
    <w:pPr>
      <w:widowControl w:val="0"/>
      <w:autoSpaceDE w:val="0"/>
      <w:autoSpaceDN w:val="0"/>
      <w:adjustRightInd w:val="0"/>
      <w:spacing w:after="0" w:line="324" w:lineRule="exact"/>
      <w:ind w:firstLine="6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83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C837E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C837E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yurotd1</dc:creator>
  <cp:keywords/>
  <dc:description/>
  <cp:lastModifiedBy>work</cp:lastModifiedBy>
  <cp:revision>6</cp:revision>
  <dcterms:created xsi:type="dcterms:W3CDTF">2025-09-12T08:17:00Z</dcterms:created>
  <dcterms:modified xsi:type="dcterms:W3CDTF">2026-01-23T05:15:00Z</dcterms:modified>
</cp:coreProperties>
</file>