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center"/>
        <w:rPr>
          <w:b/>
          <w:bCs/>
          <w:lang w:val="tt-RU"/>
        </w:rPr>
      </w:pPr>
      <w:r>
        <w:rPr>
          <w:rFonts w:cs="Times New Roman" w:ascii="Times New Roman" w:hAnsi="Times New Roman"/>
          <w:b/>
          <w:bCs/>
          <w:color w:val="auto"/>
          <w:sz w:val="28"/>
          <w:szCs w:val="28"/>
          <w:lang w:val="tt-RU"/>
        </w:rPr>
        <w:t>«</w:t>
      </w:r>
      <w:r>
        <w:rPr>
          <w:rFonts w:eastAsia="sans-serif" w:cs="Times New Roman" w:ascii="Times New Roman" w:hAnsi="Times New Roman"/>
          <w:b/>
          <w:bCs/>
          <w:i w:val="false"/>
          <w:iCs w:val="false"/>
          <w:caps w:val="false"/>
          <w:smallCaps w:val="false"/>
          <w:color w:val="000000"/>
          <w:spacing w:val="0"/>
          <w:sz w:val="28"/>
          <w:szCs w:val="28"/>
          <w:shd w:fill="FFFFFF" w:val="clear"/>
          <w:lang w:val="tt-RU"/>
        </w:rPr>
        <w:t>Оешмалар мөлкәтенә салым турында</w:t>
      </w:r>
      <w:r>
        <w:rPr>
          <w:rFonts w:cs="Times New Roman" w:ascii="Times New Roman" w:hAnsi="Times New Roman"/>
          <w:b/>
          <w:bCs/>
          <w:color w:val="auto"/>
          <w:sz w:val="28"/>
          <w:szCs w:val="28"/>
          <w:lang w:val="tt-RU"/>
        </w:rPr>
        <w:t>»</w:t>
      </w:r>
    </w:p>
    <w:p>
      <w:pPr>
        <w:pStyle w:val="Normal"/>
        <w:bidi w:val="0"/>
        <w:spacing w:lineRule="auto" w:line="240"/>
        <w:jc w:val="center"/>
        <w:rPr>
          <w:rFonts w:ascii="Times New Roman" w:hAnsi="Times New Roman" w:eastAsia="Calibri" w:cs="Times New Roman" w:eastAsiaTheme="minorHAnsi"/>
          <w:b/>
          <w:bCs/>
          <w:color w:val="auto"/>
          <w:sz w:val="28"/>
          <w:szCs w:val="28"/>
          <w:lang w:val="tt-RU" w:eastAsia="en-US"/>
        </w:rPr>
      </w:pPr>
      <w:r>
        <w:rPr>
          <w:rFonts w:eastAsia="Calibri" w:cs="Times New Roman" w:eastAsiaTheme="minorHAnsi" w:ascii="Times New Roman" w:hAnsi="Times New Roman"/>
          <w:b/>
          <w:bCs/>
          <w:color w:val="auto"/>
          <w:sz w:val="28"/>
          <w:szCs w:val="28"/>
          <w:lang w:val="tt-RU" w:eastAsia="en-US"/>
        </w:rPr>
        <w:t xml:space="preserve"> </w:t>
      </w:r>
      <w:r>
        <w:rPr>
          <w:rFonts w:eastAsia="Calibri" w:cs="Times New Roman" w:eastAsiaTheme="minorHAnsi" w:ascii="Times New Roman" w:hAnsi="Times New Roman"/>
          <w:b/>
          <w:bCs/>
          <w:color w:val="auto"/>
          <w:sz w:val="28"/>
          <w:szCs w:val="28"/>
          <w:lang w:val="tt-RU" w:eastAsia="en-US"/>
        </w:rPr>
        <w:t>Татарстан Республикасы Законының 3 һәм 5 статьяларына</w:t>
      </w:r>
    </w:p>
    <w:p>
      <w:pPr>
        <w:pStyle w:val="Normal"/>
        <w:bidi w:val="0"/>
        <w:spacing w:lineRule="auto" w:line="240"/>
        <w:jc w:val="center"/>
        <w:rPr>
          <w:b/>
          <w:bCs/>
          <w:lang w:val="tt-RU"/>
        </w:rPr>
      </w:pPr>
      <w:r>
        <w:rPr>
          <w:rFonts w:eastAsia="Calibri" w:cs="Times New Roman" w:ascii="Times New Roman" w:hAnsi="Times New Roman" w:eastAsiaTheme="minorHAnsi"/>
          <w:b/>
          <w:bCs/>
          <w:color w:val="auto"/>
          <w:sz w:val="28"/>
          <w:szCs w:val="28"/>
          <w:lang w:val="tt-RU" w:eastAsia="en-US"/>
        </w:rPr>
        <w:t xml:space="preserve">үзгәрешләр кертү хакында» </w:t>
      </w:r>
      <w:r>
        <w:rPr>
          <w:rFonts w:cs="Times New Roman" w:ascii="Times New Roman" w:hAnsi="Times New Roman"/>
          <w:b/>
          <w:bCs/>
          <w:color w:val="auto"/>
          <w:sz w:val="28"/>
          <w:szCs w:val="28"/>
          <w:lang w:val="tt-RU"/>
        </w:rPr>
        <w:t>Татарстан Республикасы закон проектына</w:t>
      </w:r>
    </w:p>
    <w:p>
      <w:pPr>
        <w:pStyle w:val="Normal"/>
        <w:bidi w:val="0"/>
        <w:spacing w:lineRule="auto" w:line="240"/>
        <w:jc w:val="center"/>
        <w:rPr>
          <w:rFonts w:ascii="Times New Roman" w:hAnsi="Times New Roman" w:cs="Times New Roman"/>
          <w:b/>
          <w:bCs/>
          <w:color w:val="auto"/>
          <w:sz w:val="28"/>
          <w:szCs w:val="28"/>
          <w:lang w:val="tt-RU"/>
        </w:rPr>
      </w:pPr>
      <w:r>
        <w:rPr>
          <w:rFonts w:cs="Times New Roman" w:ascii="Times New Roman" w:hAnsi="Times New Roman"/>
          <w:b/>
          <w:bCs/>
          <w:color w:val="auto"/>
          <w:sz w:val="28"/>
          <w:szCs w:val="28"/>
          <w:lang w:val="tt-RU"/>
        </w:rPr>
        <w:t>АҢЛАТМА</w:t>
      </w:r>
    </w:p>
    <w:p>
      <w:pPr>
        <w:pStyle w:val="Normal"/>
        <w:bidi w:val="0"/>
        <w:spacing w:lineRule="auto" w:line="240"/>
        <w:jc w:val="center"/>
        <w:rPr>
          <w:b/>
          <w:bCs/>
          <w:color w:val="auto"/>
          <w:sz w:val="28"/>
          <w:szCs w:val="28"/>
          <w:lang w:val="tt-RU"/>
        </w:rPr>
      </w:pPr>
      <w:r>
        <w:rPr>
          <w:b/>
          <w:bCs/>
          <w:color w:val="auto"/>
          <w:sz w:val="28"/>
          <w:szCs w:val="28"/>
          <w:lang w:val="tt-RU"/>
        </w:rPr>
      </w:r>
    </w:p>
    <w:p>
      <w:pPr>
        <w:pStyle w:val="Normal"/>
        <w:keepNext w:val="false"/>
        <w:keepLines w:val="false"/>
        <w:pageBreakBefore w:val="false"/>
        <w:widowControl/>
        <w:overflowPunct w:val="false"/>
        <w:bidi w:val="0"/>
        <w:snapToGrid w:val="true"/>
        <w:spacing w:lineRule="auto" w:line="240"/>
        <w:ind w:firstLine="709"/>
        <w:jc w:val="both"/>
        <w:textAlignment w:val="auto"/>
        <w:rPr>
          <w:lang w:val="tt-RU"/>
        </w:rPr>
      </w:pPr>
      <w:r>
        <w:rPr>
          <w:rFonts w:eastAsia="Arial" w:cs="Times New Roman" w:ascii="Times New Roman" w:hAnsi="Times New Roman"/>
          <w:i w:val="false"/>
          <w:iCs w:val="false"/>
          <w:caps w:val="false"/>
          <w:smallCaps w:val="false"/>
          <w:color w:val="auto"/>
          <w:spacing w:val="0"/>
          <w:sz w:val="28"/>
          <w:szCs w:val="28"/>
          <w:lang w:val="tt-RU"/>
        </w:rPr>
        <w:t>«Оешмалар мөлкәтенә салым турында» Татарстан Республикасы Законының</w:t>
        <w:br/>
        <w:t>3 һәм 5 статьяларына үзгәрешләр кертү хакында» Татарстан Республикасы закон проекты оешмалар мөлкәтенә салым буенча салым түләүчеләрнең аерым категорияләре өчен билгеләнгән  салым ташламаларының гамәлдә булуын озайтуны күздә тота.</w:t>
      </w:r>
    </w:p>
    <w:p>
      <w:pPr>
        <w:pStyle w:val="1"/>
        <w:keepNext w:val="false"/>
        <w:keepLines w:val="false"/>
        <w:pageBreakBefore w:val="false"/>
        <w:widowControl/>
        <w:suppressAutoHyphens w:val="true"/>
        <w:overflowPunct w:val="false"/>
        <w:bidi w:val="0"/>
        <w:snapToGrid w:val="true"/>
        <w:spacing w:lineRule="auto" w:line="240"/>
        <w:ind w:firstLine="709"/>
        <w:jc w:val="both"/>
        <w:textAlignment w:val="auto"/>
        <w:rPr>
          <w:lang w:val="tt-RU"/>
        </w:rPr>
      </w:pPr>
      <w:r>
        <w:rPr>
          <w:rFonts w:eastAsia="Arial" w:cs="Times New Roman" w:ascii="Times New Roman" w:hAnsi="Times New Roman"/>
          <w:i w:val="false"/>
          <w:iCs w:val="false"/>
          <w:caps w:val="false"/>
          <w:smallCaps w:val="false"/>
          <w:color w:val="auto"/>
          <w:spacing w:val="0"/>
          <w:sz w:val="28"/>
          <w:szCs w:val="28"/>
          <w:lang w:val="tt-RU"/>
        </w:rPr>
        <w:t xml:space="preserve">Бакчачылык яисә яшелчәчелек </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 xml:space="preserve">коммерциягә карамаган </w:t>
      </w:r>
      <w:r>
        <w:rPr>
          <w:rFonts w:eastAsia="Arial" w:cs="Times New Roman" w:ascii="Times New Roman" w:hAnsi="Times New Roman"/>
          <w:i w:val="false"/>
          <w:iCs w:val="false"/>
          <w:caps w:val="false"/>
          <w:smallCaps w:val="false"/>
          <w:color w:val="auto"/>
          <w:spacing w:val="0"/>
          <w:sz w:val="28"/>
          <w:szCs w:val="28"/>
          <w:lang w:val="tt-RU"/>
        </w:rPr>
        <w:t>ширкәтләренә,  шулай ук гражданнар тарафыннан бакчачылык, яшелчәчелек яисә дача хуҗалыгы алып бару өчен 2019 елның 1 гыйнварга кадәр төзелгән коммерциягә карамаган оешмаларга карата гомуми файдаланудагы мөлкәт булып торган мөлкәткә карата салым салудан азат ителүне 2028 елның 1 гыйнварына кадәр озайту каралган. Салым ташламасы социаль була һәм бакчачылык һәм яшелчәчелек ширкәтләрен үстерүгә юнәлдерелгән.</w:t>
      </w:r>
    </w:p>
    <w:p>
      <w:pPr>
        <w:pStyle w:val="Normal"/>
        <w:bidi w:val="0"/>
        <w:spacing w:lineRule="auto" w:line="240"/>
        <w:ind w:firstLine="709"/>
        <w:jc w:val="both"/>
        <w:rPr>
          <w:lang w:val="tt-RU"/>
        </w:rPr>
      </w:pPr>
      <w:r>
        <w:rPr>
          <w:rFonts w:eastAsia="Arial" w:cs="Times New Roman" w:ascii="Times New Roman" w:hAnsi="Times New Roman"/>
          <w:i w:val="false"/>
          <w:iCs w:val="false"/>
          <w:caps w:val="false"/>
          <w:smallCaps w:val="false"/>
          <w:color w:val="auto"/>
          <w:spacing w:val="0"/>
          <w:sz w:val="28"/>
          <w:szCs w:val="28"/>
          <w:lang w:val="tt-RU"/>
        </w:rPr>
        <w:t xml:space="preserve">Сәламәтлек саклау, физик культура һәм спорт ихтыяҗлары өчен файдаланыла торган социаль-мәдәни өлкә объектларына карата оешмалар өчен, федераль бюджеттан, Татарстан Республикасы бюджетыннан һәм җирле бюджетлардан финанслана торган оешмалардан тыш, халыкның медицина ярдәме сыйфатыннан канәгатьлеген арттыру һәм халыкның системалы рәвештә физик культура һәм спорт белән шөгыльләнүче өлешен арттыру максатларында, исәпләнгән салым суммасының 4,55 проценты күләмендә салым түләү рәвешендә билгеләнгән преференцияне 2028 елның 1 гыйнварына кадәр озайту каралган. </w:t>
      </w:r>
    </w:p>
    <w:p>
      <w:pPr>
        <w:pStyle w:val="Normal"/>
        <w:bidi w:val="0"/>
        <w:spacing w:lineRule="auto" w:line="240"/>
        <w:ind w:firstLine="709"/>
        <w:jc w:val="both"/>
        <w:rPr>
          <w:lang w:val="tt-RU"/>
        </w:rPr>
      </w:pPr>
      <w:r>
        <w:rPr>
          <w:rFonts w:eastAsia="Arial" w:cs="Times New Roman" w:ascii="Times New Roman" w:hAnsi="Times New Roman"/>
          <w:i w:val="false"/>
          <w:iCs w:val="false"/>
          <w:caps w:val="false"/>
          <w:smallCaps w:val="false"/>
          <w:color w:val="auto"/>
          <w:spacing w:val="0"/>
          <w:sz w:val="28"/>
          <w:szCs w:val="28"/>
          <w:lang w:val="tt-RU"/>
        </w:rPr>
        <w:t xml:space="preserve">Татарстан Республикасында халыкка табигый газ сата торган оешмалар өчен, </w:t>
      </w:r>
      <w:r>
        <w:rPr>
          <w:rFonts w:eastAsia="sans-serif" w:cs="Times New Roman" w:ascii="Times New Roman" w:hAnsi="Times New Roman"/>
          <w:i w:val="false"/>
          <w:iCs w:val="false"/>
          <w:caps w:val="false"/>
          <w:smallCaps w:val="false"/>
          <w:color w:val="000000"/>
          <w:spacing w:val="0"/>
          <w:kern w:val="0"/>
          <w:sz w:val="28"/>
          <w:szCs w:val="28"/>
          <w:shd w:fill="FFFFFF" w:val="clear"/>
          <w:lang w:val="tt-RU" w:eastAsia="zh-CN" w:bidi="ar-SA"/>
        </w:rPr>
        <w:t>Россия Федерациясе Хөкүмәте актлары нигезендә Татарстан Республикасы территориясендәге торак пунктларда газ китерү чараларын гамәлгә ашыру кысаларында 2022 елның 1 гыйнварыннан яңа гына файдалануга тапшырылган</w:t>
        <w:br/>
        <w:t xml:space="preserve">1,2 МПа кадәр, шуны да кертеп, басымлы газ бүлү челтәренең газүткәргечләренә карата </w:t>
      </w:r>
      <w:r>
        <w:rPr>
          <w:rFonts w:eastAsia="Arial" w:cs="Times New Roman" w:ascii="Times New Roman" w:hAnsi="Times New Roman"/>
          <w:i w:val="false"/>
          <w:iCs w:val="false"/>
          <w:caps w:val="false"/>
          <w:smallCaps w:val="false"/>
          <w:color w:val="auto"/>
          <w:spacing w:val="0"/>
          <w:sz w:val="28"/>
          <w:szCs w:val="28"/>
          <w:lang w:val="tt-RU"/>
        </w:rPr>
        <w:t>закон проектында преференцияне исәпләнгән салым суммасының</w:t>
        <w:br/>
        <w:t xml:space="preserve">4,55 проценты күләмендә салым түләү рәвешендә 2032 елның 1 гыйнварына кадәр озайту каралган. </w:t>
      </w:r>
    </w:p>
    <w:p>
      <w:pPr>
        <w:pStyle w:val="Normal"/>
        <w:bidi w:val="0"/>
        <w:spacing w:lineRule="auto" w:line="240"/>
        <w:ind w:firstLine="709"/>
        <w:jc w:val="both"/>
        <w:rPr>
          <w:lang w:val="tt-RU"/>
        </w:rPr>
      </w:pPr>
      <w:r>
        <w:rPr>
          <w:rFonts w:eastAsia="Arial" w:cs="Times New Roman" w:ascii="Times New Roman" w:hAnsi="Times New Roman"/>
          <w:i w:val="false"/>
          <w:iCs w:val="false"/>
          <w:caps w:val="false"/>
          <w:smallCaps w:val="false"/>
          <w:color w:val="auto"/>
          <w:spacing w:val="0"/>
          <w:sz w:val="28"/>
          <w:szCs w:val="28"/>
          <w:lang w:val="tt-RU"/>
        </w:rPr>
        <w:t xml:space="preserve">Шулай ук закон проекты тарафыннан 2027 – 2031 елларга Татарстан Республикасында халыкка табигый газ сата торган оешмалар өчен исәпләнгән салым суммасының 72,73 проценты күләмендә салым түләү рәвешендә ташлама билгеләү тәкъдим ителә, </w:t>
      </w:r>
      <w:r>
        <w:rPr>
          <w:rFonts w:eastAsia="Arial" w:cs="Times New Roman" w:ascii="Times New Roman" w:hAnsi="Times New Roman"/>
          <w:i w:val="false"/>
          <w:iCs w:val="false"/>
          <w:caps w:val="false"/>
          <w:smallCaps w:val="false"/>
          <w:color w:val="auto"/>
          <w:spacing w:val="0"/>
          <w:sz w:val="28"/>
          <w:szCs w:val="28"/>
          <w:lang w:val="tt-RU"/>
        </w:rPr>
        <w:t>–</w:t>
      </w:r>
      <w:r>
        <w:rPr>
          <w:rFonts w:eastAsia="Arial" w:cs="Times New Roman" w:ascii="Times New Roman" w:hAnsi="Times New Roman"/>
          <w:i w:val="false"/>
          <w:iCs w:val="false"/>
          <w:caps w:val="false"/>
          <w:smallCaps w:val="false"/>
          <w:color w:val="auto"/>
          <w:spacing w:val="0"/>
          <w:sz w:val="28"/>
          <w:szCs w:val="28"/>
          <w:lang w:val="tt-RU"/>
        </w:rPr>
        <w:t xml:space="preserve"> газ бүлү челтәренең калган газүткәргечләренә карата. </w:t>
      </w:r>
    </w:p>
    <w:p>
      <w:pPr>
        <w:pStyle w:val="Normal"/>
        <w:bidi w:val="0"/>
        <w:spacing w:lineRule="auto" w:line="240"/>
        <w:ind w:firstLine="709"/>
        <w:jc w:val="both"/>
        <w:rPr>
          <w:lang w:val="tt-RU"/>
        </w:rPr>
      </w:pPr>
      <w:r>
        <w:rPr>
          <w:rFonts w:eastAsia="Arial" w:cs="Times New Roman" w:ascii="Times New Roman" w:hAnsi="Times New Roman"/>
          <w:i w:val="false"/>
          <w:iCs w:val="false"/>
          <w:caps w:val="false"/>
          <w:smallCaps w:val="false"/>
          <w:color w:val="auto"/>
          <w:spacing w:val="0"/>
          <w:sz w:val="28"/>
          <w:szCs w:val="28"/>
          <w:lang w:val="tt-RU"/>
        </w:rPr>
        <w:t>Әлеге чаралар газ бүлү оешмаларына</w:t>
      </w:r>
      <w:bookmarkStart w:id="0" w:name="_GoBack"/>
      <w:bookmarkEnd w:id="0"/>
      <w:r>
        <w:rPr>
          <w:rFonts w:eastAsia="Arial" w:cs="Times New Roman" w:ascii="Times New Roman" w:hAnsi="Times New Roman"/>
          <w:i w:val="false"/>
          <w:iCs w:val="false"/>
          <w:caps w:val="false"/>
          <w:smallCaps w:val="false"/>
          <w:color w:val="auto"/>
          <w:spacing w:val="0"/>
          <w:sz w:val="28"/>
          <w:szCs w:val="28"/>
          <w:lang w:val="tt-RU"/>
        </w:rPr>
        <w:t xml:space="preserve"> салым йөкләнешен киметүгә һәм Татарстан Республикасында газлаштыруны алга таба үстерү өчен уңай шартлар тудыруга юнәлдерелгән.</w:t>
      </w:r>
    </w:p>
    <w:sectPr>
      <w:type w:val="nextPage"/>
      <w:pgSz w:w="11906" w:h="16838"/>
      <w:pgMar w:left="1134" w:right="567"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1">
    <w:name w:val="Стиль1"/>
    <w:basedOn w:val="Normal"/>
    <w:qFormat/>
    <w:pPr>
      <w:spacing w:lineRule="auto" w:line="288"/>
    </w:pPr>
    <w:rPr>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LibreOffice/25.2.6.2$Linux_X86_64 LibreOffice_project/520$Build-2</Application>
  <AppVersion>15.0000</AppVersion>
  <Pages>1</Pages>
  <Words>296</Words>
  <Characters>2146</Characters>
  <CharactersWithSpaces>2440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2026-06-18T10:15:41Z</dcterms:created>
  <dc:creator/>
  <dc:description/>
  <dc:language>ru-RU</dc:language>
  <cp:lastModifiedBy/>
  <dcterms:modified xsi:type="dcterms:W3CDTF">2026-06-18T10:17:00Z</dcterms:modified>
  <cp:revision>1</cp:revision>
  <dc:subject/>
  <dc:title/>
</cp:coreProperties>
</file>