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AA4" w:rsidRDefault="00E72255">
      <w:pPr>
        <w:jc w:val="center"/>
        <w:rPr>
          <w:b/>
        </w:rPr>
      </w:pPr>
      <w:bookmarkStart w:id="0" w:name="_GoBack"/>
      <w:bookmarkEnd w:id="0"/>
      <w:r>
        <w:rPr>
          <w:b/>
        </w:rPr>
        <w:t>ПОЯСНИТЕЛЬНАЯ ЗАПИСКА</w:t>
      </w:r>
    </w:p>
    <w:p w:rsidR="00D05AA4" w:rsidRDefault="00E72255">
      <w:pPr>
        <w:jc w:val="center"/>
        <w:rPr>
          <w:b/>
        </w:rPr>
      </w:pPr>
      <w:r>
        <w:rPr>
          <w:b/>
        </w:rPr>
        <w:t>к проекту Закона Республики Татарстан «О внесении изменений</w:t>
      </w:r>
      <w:r>
        <w:rPr>
          <w:b/>
        </w:rPr>
        <w:br/>
        <w:t>в Закон Республики Татарстан «О наделении органов местного самоуправления муниципальных районов и городских округов</w:t>
      </w:r>
    </w:p>
    <w:p w:rsidR="00D05AA4" w:rsidRDefault="00E72255">
      <w:pPr>
        <w:jc w:val="center"/>
        <w:rPr>
          <w:b/>
        </w:rPr>
      </w:pPr>
      <w:r>
        <w:rPr>
          <w:b/>
        </w:rPr>
        <w:t xml:space="preserve">Республики Татарстан государственными полномочиями </w:t>
      </w:r>
      <w:r>
        <w:rPr>
          <w:b/>
        </w:rPr>
        <w:t>Республики Татарстан в области долевого строительства многоквартирных домов</w:t>
      </w:r>
      <w:r>
        <w:rPr>
          <w:b/>
        </w:rPr>
        <w:br/>
        <w:t>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</w:t>
      </w:r>
      <w:r>
        <w:rPr>
          <w:b/>
        </w:rPr>
        <w:t>ртирного дома»</w:t>
      </w:r>
    </w:p>
    <w:p w:rsidR="00D05AA4" w:rsidRDefault="00D05AA4">
      <w:pPr>
        <w:ind w:firstLine="709"/>
        <w:jc w:val="both"/>
        <w:rPr>
          <w:bCs/>
        </w:rPr>
      </w:pPr>
    </w:p>
    <w:p w:rsidR="00D05AA4" w:rsidRDefault="00E72255">
      <w:pPr>
        <w:ind w:right="142" w:firstLine="709"/>
        <w:jc w:val="both"/>
      </w:pPr>
      <w:r>
        <w:t>Проект Закона Республики Татарстан «О внесении изменений в Закон Республики Татарстан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</w:t>
      </w:r>
      <w:r>
        <w:t>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дома» н</w:t>
      </w:r>
      <w:r>
        <w:t>аправлен на оптимизацию в Республике Татарстан осуществления  регионального государственного контроля (надзора) в области долевого строительства многоквартирных домов и (или) иных объектов недвижимости и регионального государственного контроля (надзора) за</w:t>
      </w:r>
      <w:r>
        <w:t xml:space="preserve"> деятельностью жилищно-строительного кооператива, связанной с привлечением средств членов кооператива для строительства многоквартирного дома.</w:t>
      </w:r>
    </w:p>
    <w:p w:rsidR="00D05AA4" w:rsidRDefault="00E72255">
      <w:pPr>
        <w:ind w:right="142" w:firstLine="709"/>
        <w:jc w:val="both"/>
      </w:pPr>
      <w:r>
        <w:t>Законопроект предусматривает изменение с 1 января 2027 года перечня муниципальных образований, осуществляющих пер</w:t>
      </w:r>
      <w:r>
        <w:t>еданные государственные полномочия Республики Татарстан по обозначенным видам регионального государственного контроля (надзора): сохранится осуществление государственных полномочий  органами местного самоуправления городских округов, при этом</w:t>
      </w:r>
      <w:r>
        <w:br/>
        <w:t>в отношении т</w:t>
      </w:r>
      <w:r>
        <w:t>ерриторий муниципальных районов с указанной даты полномочия будут осуществляться уполномоченным республиканским органом исполнительной власти.</w:t>
      </w:r>
    </w:p>
    <w:p w:rsidR="00D05AA4" w:rsidRDefault="00E72255">
      <w:pPr>
        <w:ind w:right="142" w:firstLine="709"/>
        <w:jc w:val="both"/>
      </w:pPr>
      <w:r>
        <w:t>На сегодняшний день в соответствии с Положением об Инспекции государственного строительного надзора Республики Та</w:t>
      </w:r>
      <w:r>
        <w:t>тарстан (далее – Инспекция), утвержденным постановлением Кабинета Министров Республики Татарстан от 12.11.2007 № 622 «Вопросы Инспекции государственного строительного надзора Республики Татарстан», Инспекция осуществляет:</w:t>
      </w:r>
    </w:p>
    <w:p w:rsidR="00D05AA4" w:rsidRDefault="00E72255">
      <w:pPr>
        <w:ind w:right="142" w:firstLine="709"/>
        <w:jc w:val="both"/>
      </w:pPr>
      <w:r>
        <w:t>региональный государственный контр</w:t>
      </w:r>
      <w:r>
        <w:t xml:space="preserve">оль (надзор) в области долевого строительства многоквартирных домов и (или) иных объектов недвижимости в отдельных муниципальных образованиях Республики Татарстан (в отношении которых приостановлено действие </w:t>
      </w:r>
      <w:hyperlink r:id="rId7" w:anchor="/document/8105414/entry/0" w:history="1">
        <w:r>
          <w:t>Закона</w:t>
        </w:r>
      </w:hyperlink>
      <w:r>
        <w:t xml:space="preserve"> Республики Татарстан от 27 декабря 2007 года № 66-ЗРТ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</w:t>
      </w:r>
      <w:r>
        <w:t xml:space="preserve">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</w:t>
      </w:r>
      <w:r>
        <w:lastRenderedPageBreak/>
        <w:t>средств членов кооператива для строительства многоквартирного дома» (далее – Закон Р</w:t>
      </w:r>
      <w:r>
        <w:t>еспублики Татарстан № 66-ЗРТ);</w:t>
      </w:r>
    </w:p>
    <w:p w:rsidR="00D05AA4" w:rsidRDefault="00E72255">
      <w:pPr>
        <w:ind w:right="142" w:firstLine="709"/>
        <w:jc w:val="both"/>
      </w:pPr>
      <w:r>
        <w:t>региональный государственный контроль (надзор) за деятельностью жилищно-строительного кооператива, связанной с привлечением средств членов кооператива для строительства многоквартирного дома в отдельных муниципальных образова</w:t>
      </w:r>
      <w:r>
        <w:t>ниях Республики Татарстан (в отношении которых приостановлено действие </w:t>
      </w:r>
      <w:hyperlink r:id="rId8" w:anchor="/document/8105414/entry/0" w:history="1">
        <w:r>
          <w:t>Закона</w:t>
        </w:r>
      </w:hyperlink>
      <w:r>
        <w:t> Республики Татарстан № 66-ЗРТ);</w:t>
      </w:r>
    </w:p>
    <w:p w:rsidR="00D05AA4" w:rsidRDefault="00E72255">
      <w:pPr>
        <w:ind w:right="142" w:firstLine="709"/>
        <w:jc w:val="both"/>
      </w:pPr>
      <w:r>
        <w:t>контроль за реализацией органами местного самоуправления государственных</w:t>
      </w:r>
      <w:r>
        <w:t xml:space="preserve"> полномочий Республики Татарстан в области долевого строительства многоквартирных домов и (или) иных объектов недвижимости,</w:t>
      </w:r>
      <w:r>
        <w:br/>
        <w:t>а также в области деятельности жилищно-строительных кооперативов, связанной с привлечением средств членов кооператива для строительс</w:t>
      </w:r>
      <w:r>
        <w:t>тва многоквартирного дома.</w:t>
      </w:r>
    </w:p>
    <w:p w:rsidR="00D05AA4" w:rsidRDefault="00E72255">
      <w:pPr>
        <w:ind w:right="142" w:firstLine="709"/>
        <w:jc w:val="both"/>
      </w:pPr>
      <w:r>
        <w:t>В целях повышения эффективности осуществлен</w:t>
      </w:r>
      <w:r>
        <w:t>ия в республике контроля (надзора), создания условий для снижения рисков и повышения гарантий обеспечения законных прав граждан предлагается государственные полномочия Республики Татарст</w:t>
      </w:r>
      <w:r>
        <w:t xml:space="preserve">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дома, на </w:t>
      </w:r>
      <w:r>
        <w:t>территориях Зеленодольского, Нижнекамского, Лаишевского, Пестречинского, Высокогорского, Верхнеуслонского, Елабужского, Альметьевского муниципальных районов передать Инспекции. В остальных муниципальных районах соответствующие полномочия не осуществляются,</w:t>
      </w:r>
      <w:r>
        <w:t xml:space="preserve"> поскольку в них не осуществляется долевое строительство многоквартирных домов и строительство многоквартирных домов жилищно-строительными кооперативами (в отношении них действие </w:t>
      </w:r>
      <w:hyperlink r:id="rId9" w:anchor="/document/8105414/entry/0" w:history="1">
        <w:r>
          <w:t>Закона</w:t>
        </w:r>
      </w:hyperlink>
      <w:r>
        <w:t xml:space="preserve"> Республики Татарстан № 66-ЗРТ приостановлено).</w:t>
      </w:r>
    </w:p>
    <w:p w:rsidR="00D05AA4" w:rsidRDefault="00D05AA4">
      <w:pPr>
        <w:ind w:right="142" w:firstLine="709"/>
        <w:jc w:val="both"/>
        <w:rPr>
          <w:strike/>
        </w:rPr>
      </w:pPr>
    </w:p>
    <w:sectPr w:rsidR="00D05A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72255">
      <w:r>
        <w:separator/>
      </w:r>
    </w:p>
  </w:endnote>
  <w:endnote w:type="continuationSeparator" w:id="0">
    <w:p w:rsidR="00000000" w:rsidRDefault="00E7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AA4" w:rsidRDefault="00D05AA4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AA4" w:rsidRDefault="00D05AA4">
    <w:pPr>
      <w:pStyle w:val="af6"/>
      <w:jc w:val="right"/>
    </w:pPr>
  </w:p>
  <w:p w:rsidR="00D05AA4" w:rsidRDefault="00D05AA4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AA4" w:rsidRDefault="00D05AA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72255">
      <w:r>
        <w:separator/>
      </w:r>
    </w:p>
  </w:footnote>
  <w:footnote w:type="continuationSeparator" w:id="0">
    <w:p w:rsidR="00000000" w:rsidRDefault="00E72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AA4" w:rsidRDefault="00D05AA4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AA4" w:rsidRDefault="00E72255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D05AA4" w:rsidRDefault="00D05AA4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AA4" w:rsidRDefault="00D05AA4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473A3"/>
    <w:multiLevelType w:val="multilevel"/>
    <w:tmpl w:val="F7B0B6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CB5DB0"/>
    <w:multiLevelType w:val="multilevel"/>
    <w:tmpl w:val="DF08D04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A4"/>
    <w:rsid w:val="00D05AA4"/>
    <w:rsid w:val="00E7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5D0BB-8822-4EB2-AD14-71A8F2C9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a3">
    <w:name w:val="Гипертекстовая ссылка"/>
    <w:qFormat/>
    <w:rPr>
      <w:color w:val="008000"/>
    </w:rPr>
  </w:style>
  <w:style w:type="character" w:styleId="a4">
    <w:name w:val="annotation reference"/>
    <w:qFormat/>
    <w:rPr>
      <w:sz w:val="16"/>
      <w:szCs w:val="16"/>
    </w:rPr>
  </w:style>
  <w:style w:type="character" w:customStyle="1" w:styleId="a5">
    <w:name w:val="Текст примечания Знак"/>
    <w:basedOn w:val="a0"/>
    <w:qFormat/>
  </w:style>
  <w:style w:type="character" w:customStyle="1" w:styleId="a6">
    <w:name w:val="Верхний колонтитул Знак"/>
    <w:qFormat/>
    <w:rPr>
      <w:sz w:val="28"/>
      <w:szCs w:val="28"/>
    </w:rPr>
  </w:style>
  <w:style w:type="character" w:customStyle="1" w:styleId="a7">
    <w:name w:val="Нижний колонтитул Знак"/>
    <w:qFormat/>
    <w:rPr>
      <w:sz w:val="28"/>
      <w:szCs w:val="28"/>
    </w:rPr>
  </w:style>
  <w:style w:type="character" w:styleId="a8">
    <w:name w:val="Hyperlink"/>
    <w:rPr>
      <w:color w:val="404040"/>
      <w:u w:val="single"/>
    </w:rPr>
  </w:style>
  <w:style w:type="character" w:customStyle="1" w:styleId="FontStyle12">
    <w:name w:val="Font Style12"/>
    <w:qFormat/>
    <w:rPr>
      <w:rFonts w:ascii="Georgia" w:hAnsi="Georgia" w:cs="Georgia"/>
      <w:sz w:val="24"/>
      <w:szCs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qFormat/>
    <w:rPr>
      <w:rFonts w:ascii="Arial" w:hAnsi="Arial" w:cs="Arial"/>
      <w:b/>
      <w:bCs/>
      <w:color w:val="000080"/>
      <w:sz w:val="24"/>
      <w:szCs w:val="24"/>
    </w:rPr>
  </w:style>
  <w:style w:type="character" w:styleId="a9">
    <w:name w:val="Emphasis"/>
    <w:uiPriority w:val="20"/>
    <w:qFormat/>
    <w:rsid w:val="00C43AB7"/>
    <w:rPr>
      <w:i/>
      <w:iCs/>
    </w:rPr>
  </w:style>
  <w:style w:type="character" w:customStyle="1" w:styleId="aa">
    <w:name w:val="Основной текст с отступом Знак"/>
    <w:link w:val="ab"/>
    <w:uiPriority w:val="99"/>
    <w:semiHidden/>
    <w:qFormat/>
    <w:rsid w:val="009C28FF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Microsoft YaHei" w:hAnsi="PT Astra Serif" w:cs="Mangal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eastAsia="Microsoft YaHei" w:cs="Mangal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annotation text"/>
    <w:basedOn w:val="a"/>
    <w:qFormat/>
    <w:rPr>
      <w:sz w:val="20"/>
      <w:szCs w:val="20"/>
    </w:rPr>
  </w:style>
  <w:style w:type="paragraph" w:customStyle="1" w:styleId="a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Колонтитулы (user)"/>
    <w:basedOn w:val="a"/>
    <w:qFormat/>
  </w:style>
  <w:style w:type="paragraph" w:customStyle="1" w:styleId="af4">
    <w:name w:val="Колонтитулы"/>
    <w:basedOn w:val="a"/>
    <w:qFormat/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qFormat/>
    <w:pPr>
      <w:widowControl w:val="0"/>
    </w:pPr>
    <w:rPr>
      <w:sz w:val="24"/>
      <w:szCs w:val="24"/>
    </w:rPr>
  </w:style>
  <w:style w:type="paragraph" w:customStyle="1" w:styleId="Style2">
    <w:name w:val="Style2"/>
    <w:basedOn w:val="a"/>
    <w:qFormat/>
    <w:pPr>
      <w:widowControl w:val="0"/>
    </w:pPr>
    <w:rPr>
      <w:sz w:val="24"/>
      <w:szCs w:val="24"/>
    </w:rPr>
  </w:style>
  <w:style w:type="paragraph" w:customStyle="1" w:styleId="Style3">
    <w:name w:val="Style3"/>
    <w:basedOn w:val="a"/>
    <w:qFormat/>
    <w:pPr>
      <w:widowControl w:val="0"/>
    </w:pPr>
    <w:rPr>
      <w:sz w:val="24"/>
      <w:szCs w:val="24"/>
    </w:rPr>
  </w:style>
  <w:style w:type="paragraph" w:customStyle="1" w:styleId="Style4">
    <w:name w:val="Style4"/>
    <w:basedOn w:val="a"/>
    <w:qFormat/>
    <w:pPr>
      <w:widowControl w:val="0"/>
    </w:pPr>
    <w:rPr>
      <w:sz w:val="24"/>
      <w:szCs w:val="24"/>
    </w:rPr>
  </w:style>
  <w:style w:type="paragraph" w:customStyle="1" w:styleId="Style5">
    <w:name w:val="Style5"/>
    <w:basedOn w:val="a"/>
    <w:qFormat/>
    <w:pPr>
      <w:widowControl w:val="0"/>
    </w:pPr>
    <w:rPr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sz w:val="24"/>
      <w:szCs w:val="24"/>
    </w:rPr>
  </w:style>
  <w:style w:type="paragraph" w:customStyle="1" w:styleId="Style7">
    <w:name w:val="Style7"/>
    <w:basedOn w:val="a"/>
    <w:qFormat/>
    <w:pPr>
      <w:widowControl w:val="0"/>
    </w:pPr>
    <w:rPr>
      <w:sz w:val="24"/>
      <w:szCs w:val="24"/>
    </w:rPr>
  </w:style>
  <w:style w:type="paragraph" w:customStyle="1" w:styleId="Style8">
    <w:name w:val="Style8"/>
    <w:basedOn w:val="a"/>
    <w:qFormat/>
    <w:pPr>
      <w:widowControl w:val="0"/>
    </w:pPr>
    <w:rPr>
      <w:sz w:val="24"/>
      <w:szCs w:val="24"/>
    </w:rPr>
  </w:style>
  <w:style w:type="paragraph" w:customStyle="1" w:styleId="Style9">
    <w:name w:val="Style9"/>
    <w:basedOn w:val="a"/>
    <w:qFormat/>
    <w:pPr>
      <w:widowControl w:val="0"/>
    </w:pPr>
    <w:rPr>
      <w:sz w:val="24"/>
      <w:szCs w:val="24"/>
    </w:rPr>
  </w:style>
  <w:style w:type="paragraph" w:customStyle="1" w:styleId="Style10">
    <w:name w:val="Style10"/>
    <w:basedOn w:val="a"/>
    <w:qFormat/>
    <w:pPr>
      <w:widowControl w:val="0"/>
    </w:pPr>
    <w:rPr>
      <w:sz w:val="24"/>
      <w:szCs w:val="24"/>
    </w:rPr>
  </w:style>
  <w:style w:type="paragraph" w:customStyle="1" w:styleId="af7">
    <w:name w:val="Информация об изменениях"/>
    <w:basedOn w:val="a"/>
    <w:next w:val="a"/>
    <w:qFormat/>
    <w:pPr>
      <w:spacing w:before="180"/>
      <w:ind w:left="360" w:right="360"/>
      <w:jc w:val="both"/>
    </w:pPr>
    <w:rPr>
      <w:rFonts w:ascii="Arial" w:hAnsi="Arial" w:cs="Arial"/>
      <w:sz w:val="24"/>
      <w:szCs w:val="24"/>
      <w:shd w:val="clear" w:color="auto" w:fill="EAEFED"/>
    </w:rPr>
  </w:style>
  <w:style w:type="paragraph" w:customStyle="1" w:styleId="af8">
    <w:name w:val="Заголовок группы контролов"/>
    <w:basedOn w:val="a"/>
    <w:next w:val="a"/>
    <w:qFormat/>
    <w:pPr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styleId="af9">
    <w:name w:val="No Spacing"/>
    <w:qFormat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a">
    <w:name w:val="Прижатый влево"/>
    <w:basedOn w:val="a"/>
    <w:next w:val="a"/>
    <w:qFormat/>
    <w:rPr>
      <w:rFonts w:ascii="Arial" w:hAnsi="Arial" w:cs="Arial"/>
      <w:sz w:val="24"/>
      <w:szCs w:val="24"/>
    </w:rPr>
  </w:style>
  <w:style w:type="paragraph" w:styleId="ab">
    <w:name w:val="Body Text Indent"/>
    <w:basedOn w:val="a"/>
    <w:link w:val="aa"/>
    <w:uiPriority w:val="99"/>
    <w:semiHidden/>
    <w:unhideWhenUsed/>
    <w:rsid w:val="009C28FF"/>
    <w:pPr>
      <w:spacing w:after="120"/>
      <w:ind w:left="283"/>
    </w:pPr>
  </w:style>
  <w:style w:type="paragraph" w:customStyle="1" w:styleId="afb">
    <w:name w:val="Адресат"/>
    <w:basedOn w:val="a"/>
    <w:qFormat/>
    <w:rsid w:val="00B76B32"/>
    <w:pPr>
      <w:widowControl w:val="0"/>
      <w:suppressAutoHyphens w:val="0"/>
      <w:spacing w:before="60"/>
      <w:ind w:left="7258"/>
    </w:pPr>
    <w:rPr>
      <w:szCs w:val="20"/>
      <w:lang w:eastAsia="ru-RU"/>
    </w:rPr>
  </w:style>
  <w:style w:type="numbering" w:customStyle="1" w:styleId="user2">
    <w:name w:val="Без списка (user)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Вишнякова Светлана Г</dc:creator>
  <dc:description/>
  <cp:lastModifiedBy>IGSNRT</cp:lastModifiedBy>
  <cp:revision>2</cp:revision>
  <cp:lastPrinted>2025-07-23T09:51:00Z</cp:lastPrinted>
  <dcterms:created xsi:type="dcterms:W3CDTF">2026-06-26T05:46:00Z</dcterms:created>
  <dcterms:modified xsi:type="dcterms:W3CDTF">2026-06-26T05:46:00Z</dcterms:modified>
  <dc:language>ru-RU</dc:language>
</cp:coreProperties>
</file>