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cs="Times New Roman"/>
          <w:b/>
          <w:bCs/>
          <w:color w:val="000000"/>
          <w:sz w:val="28"/>
          <w:szCs w:val="28"/>
          <w:lang w:val="tt-RU"/>
        </w:rPr>
      </w:pPr>
      <w:r>
        <w:rPr>
          <w:rFonts w:cs="Times New Roman"/>
          <w:b/>
          <w:color w:val="000000"/>
          <w:sz w:val="28"/>
          <w:szCs w:val="28"/>
          <w:lang w:val="tt-RU"/>
        </w:rPr>
        <w:t>«2027 елга һәм 2028 һәм 2029 елларның планлы чорына</w:t>
      </w:r>
      <w:r>
        <w:rPr>
          <w:rFonts w:cs="Times New Roman"/>
          <w:b/>
          <w:bCs/>
          <w:color w:val="000000"/>
          <w:sz w:val="28"/>
          <w:szCs w:val="28"/>
          <w:lang w:val="tt-RU"/>
        </w:rPr>
        <w:t xml:space="preserve"> Татарстан Республикасында  гомуми белем бирү оешмаларында</w:t>
      </w:r>
    </w:p>
    <w:p>
      <w:pPr>
        <w:pStyle w:val="Normal"/>
        <w:jc w:val="center"/>
        <w:rPr>
          <w:rFonts w:cs="Times New Roman"/>
          <w:b/>
          <w:bCs/>
          <w:color w:val="000000"/>
          <w:sz w:val="28"/>
          <w:szCs w:val="28"/>
          <w:lang w:val="tt-RU"/>
        </w:rPr>
      </w:pPr>
      <w:r>
        <w:rPr>
          <w:rFonts w:cs="Times New Roman"/>
          <w:b/>
          <w:bCs/>
          <w:color w:val="000000"/>
          <w:sz w:val="28"/>
          <w:szCs w:val="28"/>
          <w:lang w:val="tt-RU"/>
        </w:rPr>
        <w:t>һәм һөнәри белем бирү оешмаларында һәркем өчен мөмкин булган</w:t>
      </w:r>
    </w:p>
    <w:p>
      <w:pPr>
        <w:pStyle w:val="Normal"/>
        <w:jc w:val="center"/>
        <w:rPr>
          <w:rFonts w:cs="Times New Roman"/>
          <w:b/>
          <w:bCs/>
          <w:color w:val="000000"/>
          <w:sz w:val="28"/>
          <w:szCs w:val="28"/>
          <w:lang w:val="tt-RU"/>
        </w:rPr>
      </w:pPr>
      <w:r>
        <w:rPr>
          <w:rFonts w:cs="Times New Roman"/>
          <w:b/>
          <w:bCs/>
          <w:color w:val="000000"/>
          <w:sz w:val="28"/>
          <w:szCs w:val="28"/>
          <w:lang w:val="tt-RU"/>
        </w:rPr>
        <w:t>һәм түләүсез башлангыч гомуми, төп гомуми, урта гомуми белем,</w:t>
      </w:r>
    </w:p>
    <w:p>
      <w:pPr>
        <w:pStyle w:val="Normal"/>
        <w:jc w:val="center"/>
        <w:rPr>
          <w:rFonts w:cs="Times New Roman"/>
          <w:b/>
          <w:color w:val="000000"/>
          <w:sz w:val="28"/>
          <w:szCs w:val="28"/>
          <w:lang w:val="tt-RU"/>
        </w:rPr>
      </w:pPr>
      <w:r>
        <w:rPr>
          <w:rFonts w:cs="Times New Roman"/>
          <w:b/>
          <w:bCs/>
          <w:color w:val="000000"/>
          <w:sz w:val="28"/>
          <w:szCs w:val="28"/>
          <w:lang w:val="tt-RU"/>
        </w:rPr>
        <w:t>шулай ук өстәмә белем алуга хокукларны гамәлгә ашыруның дәүләт гарантияләрен финанс белән тәэмин итү нормативларын раслау турында</w:t>
      </w:r>
      <w:r>
        <w:rPr>
          <w:rFonts w:cs="Times New Roman"/>
          <w:b/>
          <w:color w:val="000000"/>
          <w:sz w:val="28"/>
          <w:szCs w:val="28"/>
          <w:lang w:val="tt-RU"/>
        </w:rPr>
        <w:t>» Татарстан Республикасы закон проектына</w:t>
      </w:r>
    </w:p>
    <w:p>
      <w:pPr>
        <w:pStyle w:val="Normal"/>
        <w:jc w:val="center"/>
        <w:rPr>
          <w:b/>
          <w:color w:val="000000"/>
          <w:sz w:val="28"/>
          <w:szCs w:val="28"/>
          <w:lang w:val="tt-RU"/>
        </w:rPr>
      </w:pPr>
      <w:r>
        <w:rPr>
          <w:rFonts w:cs="Times New Roman"/>
          <w:b/>
          <w:color w:val="000000"/>
          <w:sz w:val="28"/>
          <w:szCs w:val="28"/>
          <w:lang w:val="tt-RU"/>
        </w:rPr>
        <w:t>АҢЛАТМА</w:t>
      </w:r>
    </w:p>
    <w:p>
      <w:pPr>
        <w:pStyle w:val="Normal"/>
        <w:jc w:val="center"/>
        <w:rPr>
          <w:b/>
          <w:color w:val="000000"/>
          <w:sz w:val="28"/>
          <w:szCs w:val="28"/>
          <w:lang w:val="tt-RU"/>
        </w:rPr>
      </w:pPr>
      <w:r>
        <w:rPr>
          <w:b/>
          <w:color w:val="000000"/>
          <w:sz w:val="28"/>
          <w:szCs w:val="28"/>
          <w:lang w:val="tt-RU"/>
        </w:rPr>
      </w:r>
    </w:p>
    <w:p>
      <w:pPr>
        <w:pStyle w:val="Normal"/>
        <w:ind w:left="0" w:right="0" w:firstLine="709"/>
        <w:jc w:val="both"/>
        <w:rPr>
          <w:rFonts w:cs="Times New Roman"/>
          <w:color w:val="000000"/>
          <w:sz w:val="28"/>
          <w:szCs w:val="28"/>
          <w:lang w:val="tt-RU"/>
        </w:rPr>
      </w:pPr>
      <w:r>
        <w:rPr>
          <w:rFonts w:cs="Times New Roman"/>
          <w:color w:val="000000"/>
          <w:sz w:val="28"/>
          <w:szCs w:val="28"/>
          <w:lang w:val="tt-RU"/>
        </w:rPr>
        <w:t>«</w:t>
      </w:r>
      <w:r>
        <w:rPr>
          <w:rFonts w:cs="Times New Roman"/>
          <w:b w:val="false"/>
          <w:bCs/>
          <w:color w:val="000000"/>
          <w:sz w:val="28"/>
          <w:szCs w:val="28"/>
          <w:lang w:val="tt-RU"/>
        </w:rPr>
        <w:t>2027 елга һәм 2028 һәм 2029 елларның планлы чорына</w:t>
      </w:r>
      <w:r>
        <w:rPr>
          <w:rFonts w:cs="Times New Roman"/>
          <w:bCs/>
          <w:color w:val="000000"/>
          <w:sz w:val="28"/>
          <w:szCs w:val="28"/>
          <w:lang w:val="tt-RU"/>
        </w:rPr>
        <w:t xml:space="preserve"> Татарстан Республикасында  гомуми белем бирү оешмаларында һәм һөнәри белем бирү оешмаларында һәркем өчен мөмкин булган һәм түләүсез башлангыч гомуми, төп гомуми, урта гомуми белем, шулай ук өстәмә белем алуга хокукларны гамәлгә ашыруның дәүләт гарантияләрен финанс белән тәэмин итү нормативларын раслау турында</w:t>
      </w:r>
      <w:r>
        <w:rPr>
          <w:rFonts w:cs="Times New Roman"/>
          <w:color w:val="000000"/>
          <w:sz w:val="28"/>
          <w:szCs w:val="28"/>
          <w:lang w:val="tt-RU"/>
        </w:rPr>
        <w:t xml:space="preserve">» </w:t>
      </w:r>
      <w:r>
        <w:rPr>
          <w:rFonts w:cs="Times New Roman"/>
          <w:bCs/>
          <w:color w:val="000000"/>
          <w:sz w:val="28"/>
          <w:szCs w:val="28"/>
          <w:lang w:val="tt-RU"/>
        </w:rPr>
        <w:t xml:space="preserve">Татарстан Республикасы закон проекты (алга таба - закон проекты) </w:t>
      </w:r>
      <w:r>
        <w:rPr>
          <w:rFonts w:cs="Times New Roman"/>
          <w:color w:val="000000"/>
          <w:sz w:val="28"/>
          <w:szCs w:val="28"/>
          <w:lang w:val="tt-RU"/>
        </w:rPr>
        <w:t>«Россия Федерациясендә мәгариф турында» 2012 елның 29 декабрендәге 273-ФЗ номерлы Федераль законны һәм «Россия Федерациясе субъектларында</w:t>
      </w:r>
      <w:r>
        <w:rPr>
          <w:rFonts w:eastAsia="SimSun" w:cs="Times New Roman"/>
          <w:i w:val="false"/>
          <w:iCs w:val="false"/>
          <w:caps w:val="false"/>
          <w:smallCaps w:val="false"/>
          <w:color w:val="000000"/>
          <w:spacing w:val="0"/>
          <w:sz w:val="28"/>
          <w:szCs w:val="28"/>
          <w:lang w:val="tt-RU"/>
        </w:rPr>
        <w:t xml:space="preserve"> ачык хакимият оештыруның гомуми принциплары турында</w:t>
      </w:r>
      <w:r>
        <w:rPr>
          <w:rFonts w:cs="Times New Roman"/>
          <w:color w:val="000000"/>
          <w:sz w:val="28"/>
          <w:szCs w:val="28"/>
          <w:lang w:val="tt-RU"/>
        </w:rPr>
        <w:t>» 2021 елның 21 декабрендәге 414-ФЗ номерлы Федераль законны гамәлгә ашыру максатыннан эшләнгән.</w:t>
      </w:r>
    </w:p>
    <w:p>
      <w:pPr>
        <w:pStyle w:val="Normal"/>
        <w:ind w:left="0" w:right="0" w:firstLine="709"/>
        <w:jc w:val="both"/>
        <w:rPr>
          <w:rFonts w:cs="Times New Roman"/>
          <w:bCs/>
          <w:color w:val="000000"/>
          <w:sz w:val="28"/>
          <w:szCs w:val="28"/>
          <w:lang w:val="tt-RU"/>
        </w:rPr>
      </w:pPr>
      <w:r>
        <w:rPr>
          <w:rFonts w:cs="Times New Roman"/>
          <w:color w:val="000000"/>
          <w:sz w:val="28"/>
          <w:szCs w:val="28"/>
          <w:lang w:val="tt-RU"/>
        </w:rPr>
        <w:t>«</w:t>
      </w:r>
      <w:r>
        <w:rPr>
          <w:rFonts w:cs="Times New Roman"/>
          <w:bCs/>
          <w:color w:val="000000"/>
          <w:sz w:val="28"/>
          <w:szCs w:val="28"/>
          <w:lang w:val="tt-RU"/>
        </w:rPr>
        <w:t>Россия Федерациясендә мәгариф турында</w:t>
      </w:r>
      <w:r>
        <w:rPr>
          <w:rFonts w:cs="Times New Roman"/>
          <w:color w:val="000000"/>
          <w:sz w:val="28"/>
          <w:szCs w:val="28"/>
          <w:lang w:val="tt-RU"/>
        </w:rPr>
        <w:t>»</w:t>
      </w:r>
      <w:r>
        <w:rPr>
          <w:rFonts w:cs="Times New Roman"/>
          <w:bCs/>
          <w:color w:val="000000"/>
          <w:sz w:val="28"/>
          <w:szCs w:val="28"/>
          <w:lang w:val="tt-RU"/>
        </w:rPr>
        <w:t xml:space="preserve"> 2012 елның 29 декабрендәге</w:t>
        <w:br/>
        <w:t>273-ФЗ номерлы Федераль законның 8 статьясы нигезендә Россия Федерациясе субъектларының дәүләт хакимияте органнарының мәгариф өлкәсендәге вәкаләтләренә, хезмәт өчен түләү, дәреслекләр һәм уку кирәк-яраклары, белем бирү чаралары, уеннар, уенчыклар сатып алуга чыгымнарын кертеп (бинаны карап тоуга һәм коммуналь хезмәтләр өчен түләүгә киткән чыгымнарны кертмичә) Россия Федерациясе субъектларының дәүләт хакимияте органнары тарафыннан билгеләнә торган нормативлар нигезендә  җирле бюджетларга субвенцияләр бирү юлы белән, төп гомуми белем бирү программаларын федераль дәүләт белем бирү стандартлары нигезендә гамәлгә ашыруны финанс ягыннан тәэмин итү керә.</w:t>
      </w:r>
    </w:p>
    <w:p>
      <w:pPr>
        <w:pStyle w:val="Normal"/>
        <w:ind w:left="0" w:right="0" w:firstLine="709"/>
        <w:jc w:val="both"/>
        <w:rPr>
          <w:rFonts w:cs="Times New Roman"/>
          <w:b w:val="false"/>
          <w:bCs/>
          <w:color w:val="000000"/>
          <w:sz w:val="28"/>
          <w:szCs w:val="28"/>
          <w:lang w:val="tt-RU"/>
        </w:rPr>
      </w:pPr>
      <w:r>
        <w:rPr>
          <w:rFonts w:cs="Times New Roman"/>
          <w:bCs/>
          <w:color w:val="000000"/>
          <w:sz w:val="28"/>
          <w:szCs w:val="28"/>
          <w:lang w:val="tt-RU"/>
        </w:rPr>
        <w:t xml:space="preserve">Закон проекты белән </w:t>
      </w:r>
      <w:r>
        <w:rPr>
          <w:rFonts w:cs="Times New Roman"/>
          <w:b w:val="false"/>
          <w:bCs/>
          <w:color w:val="000000"/>
          <w:sz w:val="28"/>
          <w:szCs w:val="28"/>
          <w:lang w:val="tt-RU"/>
        </w:rPr>
        <w:t>2027 елга һәм 2028 һәм 2029 елларның планлы чорына</w:t>
      </w:r>
      <w:r>
        <w:rPr>
          <w:rFonts w:cs="Times New Roman"/>
          <w:bCs/>
          <w:color w:val="000000"/>
          <w:sz w:val="28"/>
          <w:szCs w:val="28"/>
          <w:lang w:val="tt-RU"/>
        </w:rPr>
        <w:t xml:space="preserve"> Татарстан Республикасы гомуми белем бирү оешмаларында һәм һөнәри белем бирү оешмаларында гомуми белем дәүләт стандартын һәм өстәмә белем программаларын гамәлгә ашыруны финанс белән тәэмин итү нормативлары (алга таба - нормативлар) раслана.</w:t>
      </w:r>
    </w:p>
    <w:p>
      <w:pPr>
        <w:pStyle w:val="Normal"/>
        <w:ind w:left="0" w:right="0" w:firstLine="709"/>
        <w:jc w:val="both"/>
        <w:rPr>
          <w:rFonts w:cs="Times New Roman"/>
          <w:b w:val="false"/>
          <w:bCs/>
          <w:color w:val="000000"/>
          <w:sz w:val="28"/>
          <w:szCs w:val="28"/>
          <w:lang w:val="tt-RU"/>
        </w:rPr>
      </w:pPr>
      <w:r>
        <w:rPr>
          <w:rFonts w:cs="Times New Roman"/>
          <w:b w:val="false"/>
          <w:bCs/>
          <w:color w:val="000000"/>
          <w:sz w:val="28"/>
          <w:szCs w:val="28"/>
          <w:lang w:val="tt-RU"/>
        </w:rPr>
        <w:t>Н</w:t>
      </w:r>
      <w:r>
        <w:rPr>
          <w:rFonts w:cs="Times New Roman"/>
          <w:bCs/>
          <w:color w:val="000000"/>
          <w:sz w:val="28"/>
          <w:szCs w:val="28"/>
          <w:lang w:val="tt-RU"/>
        </w:rPr>
        <w:t xml:space="preserve">ормативлар Татарстан Республикасы Министрлар Кабинетының </w:t>
      </w:r>
      <w:r>
        <w:rPr>
          <w:rFonts w:cs="Times New Roman"/>
          <w:color w:val="000000"/>
          <w:sz w:val="28"/>
          <w:szCs w:val="28"/>
          <w:lang w:val="tt-RU"/>
        </w:rPr>
        <w:t xml:space="preserve">«Татарстан Республикасының гомуми белем бирү оешмаларын норматив финанслау турында» </w:t>
      </w:r>
      <w:r>
        <w:rPr>
          <w:rFonts w:cs="Times New Roman"/>
          <w:bCs/>
          <w:color w:val="000000"/>
          <w:sz w:val="28"/>
          <w:szCs w:val="28"/>
          <w:lang w:val="tt-RU"/>
        </w:rPr>
        <w:t xml:space="preserve"> 2017 елның 8 августындагы  566 номерлы карары белән расланган </w:t>
      </w:r>
      <w:r>
        <w:rPr>
          <w:rFonts w:eastAsia="Arial" w:cs="Times New Roman"/>
          <w:i w:val="false"/>
          <w:iCs w:val="false"/>
          <w:caps w:val="false"/>
          <w:smallCaps w:val="false"/>
          <w:color w:val="000000"/>
          <w:spacing w:val="0"/>
          <w:sz w:val="28"/>
          <w:szCs w:val="28"/>
          <w:lang w:val="tt-RU"/>
        </w:rPr>
        <w:t xml:space="preserve">Татарстан Республикасы гомуми белем бирү оешмаларында балаларга һәркем өчен мөмкин булган һәм түләүсез мәктәпкәчә, башлангыч гомуми, төп гомуми, урта гомуми белем, шулай ук өстәмә белем алуга хокукларны гамәлгә ашыруның дәүләт гарантияләрен тәэмин итүгә норматив чыгымнарны исәпләү тәртибе турындагы нигезләмә </w:t>
      </w:r>
      <w:r>
        <w:rPr>
          <w:rFonts w:cs="Times New Roman"/>
          <w:bCs/>
          <w:color w:val="000000"/>
          <w:sz w:val="28"/>
          <w:szCs w:val="28"/>
          <w:lang w:val="tt-RU"/>
        </w:rPr>
        <w:t xml:space="preserve">һәм Татарстан Республикасы Министрлар Кабинетының </w:t>
      </w:r>
      <w:r>
        <w:rPr>
          <w:rFonts w:cs="Times New Roman"/>
          <w:color w:val="000000"/>
          <w:sz w:val="28"/>
          <w:szCs w:val="28"/>
          <w:lang w:val="tt-RU"/>
        </w:rPr>
        <w:t>«Адаптацияләнгән төп гомуми белем бирү программалары һәм Татарстан Республикасы карамагындагы шифаханә тибындагы белем бирү программалары буенча гамәлгә ашыручы оешмаларның норматив чыгымнарын исәпләү тәртибе турындагы нигезләмәне раслау хакында»</w:t>
      </w:r>
      <w:r>
        <w:rPr>
          <w:rFonts w:cs="Times New Roman"/>
          <w:bCs/>
          <w:color w:val="000000"/>
          <w:sz w:val="28"/>
          <w:szCs w:val="28"/>
          <w:lang w:val="tt-RU"/>
        </w:rPr>
        <w:t xml:space="preserve"> 2009 елның 8 апрелендәге 208 номерлы карары белән расланган </w:t>
      </w:r>
      <w:r>
        <w:rPr>
          <w:rFonts w:cs="Times New Roman"/>
          <w:color w:val="000000"/>
          <w:sz w:val="28"/>
          <w:szCs w:val="28"/>
          <w:lang w:val="tt-RU"/>
        </w:rPr>
        <w:t>Адаптацияләнгән төп гомуми белем бирү программалары һәм Татарстан Республикасы карамагындагы шифаханә тибындагы белем бирү программалары буенча гамәлгә ашыручы оешмаларның норматив чыгымнарын исәпләү тәртибе турындагы нигезләмә</w:t>
      </w:r>
      <w:r>
        <w:rPr>
          <w:rFonts w:cs="Times New Roman"/>
          <w:bCs/>
          <w:color w:val="000000"/>
          <w:sz w:val="28"/>
          <w:szCs w:val="28"/>
          <w:lang w:val="tt-RU"/>
        </w:rPr>
        <w:t xml:space="preserve"> буенча исәпләп чыгарылды.</w:t>
      </w:r>
    </w:p>
    <w:p>
      <w:pPr>
        <w:pStyle w:val="Normal"/>
        <w:ind w:left="0" w:right="0" w:firstLine="720"/>
        <w:jc w:val="both"/>
        <w:rPr>
          <w:rFonts w:cs="Times New Roman"/>
          <w:bCs/>
          <w:color w:val="000000"/>
          <w:sz w:val="28"/>
          <w:szCs w:val="28"/>
          <w:lang w:val="tt-RU"/>
        </w:rPr>
      </w:pPr>
      <w:r>
        <w:rPr>
          <w:rFonts w:cs="Times New Roman"/>
          <w:b w:val="false"/>
          <w:bCs/>
          <w:color w:val="000000"/>
          <w:sz w:val="28"/>
          <w:szCs w:val="28"/>
          <w:lang w:val="tt-RU"/>
        </w:rPr>
        <w:t>Н</w:t>
      </w:r>
      <w:r>
        <w:rPr>
          <w:rFonts w:cs="Times New Roman"/>
          <w:bCs/>
          <w:color w:val="000000"/>
          <w:sz w:val="28"/>
          <w:szCs w:val="28"/>
          <w:lang w:val="tt-RU"/>
        </w:rPr>
        <w:t>ормативлары түбәндәгеләргә бәйле рәвештә дифференциацияләнә:</w:t>
      </w:r>
    </w:p>
    <w:p>
      <w:pPr>
        <w:pStyle w:val="Normal"/>
        <w:ind w:left="0" w:right="0" w:firstLine="709"/>
        <w:jc w:val="both"/>
        <w:rPr>
          <w:rFonts w:cs="Times New Roman"/>
          <w:bCs/>
          <w:color w:val="000000"/>
          <w:sz w:val="28"/>
          <w:szCs w:val="28"/>
          <w:lang w:val="tt-RU"/>
        </w:rPr>
      </w:pPr>
      <w:r>
        <w:rPr>
          <w:rFonts w:cs="Times New Roman"/>
          <w:bCs/>
          <w:color w:val="000000"/>
          <w:sz w:val="28"/>
          <w:szCs w:val="28"/>
          <w:lang w:val="tt-RU"/>
        </w:rPr>
        <w:t>гомуми белем дәрәҗәсенә (башлангыч гомуми, төп гомуми, урта гомуми белем);</w:t>
      </w:r>
    </w:p>
    <w:p>
      <w:pPr>
        <w:pStyle w:val="Normal"/>
        <w:ind w:left="0" w:right="0" w:firstLine="709"/>
        <w:jc w:val="both"/>
        <w:rPr>
          <w:rFonts w:cs="Times New Roman"/>
          <w:bCs/>
          <w:color w:val="000000"/>
          <w:sz w:val="28"/>
          <w:szCs w:val="28"/>
          <w:lang w:val="tt-RU"/>
        </w:rPr>
      </w:pPr>
      <w:r>
        <w:rPr>
          <w:rFonts w:cs="Times New Roman"/>
          <w:bCs/>
          <w:color w:val="000000"/>
          <w:sz w:val="28"/>
          <w:szCs w:val="28"/>
          <w:lang w:val="tt-RU"/>
        </w:rPr>
        <w:t>укыту юнәлешенә (гуманитар профиль, табигый-фәнни профиль, агротехнологик профиль, техник профиль,</w:t>
      </w:r>
      <w:r>
        <w:rPr>
          <w:rFonts w:cs="Times New Roman"/>
          <w:color w:val="000000"/>
          <w:sz w:val="28"/>
          <w:szCs w:val="28"/>
          <w:lang w:val="tt-RU"/>
        </w:rPr>
        <w:t xml:space="preserve"> </w:t>
      </w:r>
      <w:r>
        <w:rPr>
          <w:rFonts w:cs="Times New Roman"/>
          <w:bCs/>
          <w:color w:val="000000"/>
          <w:sz w:val="28"/>
          <w:szCs w:val="28"/>
          <w:lang w:val="tt-RU"/>
        </w:rPr>
        <w:t>башка профильләр);</w:t>
      </w:r>
    </w:p>
    <w:p>
      <w:pPr>
        <w:pStyle w:val="Normal"/>
        <w:ind w:left="0" w:right="0" w:firstLine="709"/>
        <w:jc w:val="both"/>
        <w:rPr>
          <w:rFonts w:cs="Times New Roman"/>
          <w:bCs/>
          <w:color w:val="000000"/>
          <w:sz w:val="28"/>
          <w:szCs w:val="28"/>
          <w:lang w:val="tt-RU"/>
        </w:rPr>
      </w:pPr>
      <w:r>
        <w:rPr>
          <w:rFonts w:cs="Times New Roman"/>
          <w:bCs/>
          <w:color w:val="000000"/>
          <w:sz w:val="28"/>
          <w:szCs w:val="28"/>
          <w:lang w:val="tt-RU"/>
        </w:rPr>
        <w:t>гомуми белем оешмасының территориаль дислокациясенә (шәһәр (шәһәр округы) һәм авыл җире);</w:t>
      </w:r>
    </w:p>
    <w:p>
      <w:pPr>
        <w:pStyle w:val="Normal"/>
        <w:ind w:left="0" w:right="0" w:firstLine="709"/>
        <w:jc w:val="both"/>
        <w:rPr>
          <w:rFonts w:cs="Times New Roman"/>
          <w:bCs/>
          <w:color w:val="000000"/>
          <w:sz w:val="28"/>
          <w:szCs w:val="28"/>
          <w:lang w:val="tt-RU"/>
        </w:rPr>
      </w:pPr>
      <w:r>
        <w:rPr>
          <w:rFonts w:cs="Times New Roman"/>
          <w:bCs/>
          <w:color w:val="000000"/>
          <w:sz w:val="28"/>
          <w:szCs w:val="28"/>
          <w:lang w:val="tt-RU"/>
        </w:rPr>
        <w:t>уку йортының төренә (башлангыч гомуми белем бирү мәктәбе, төп гомуми белем бирү мәктәбе, урта гомуми белем бирү мәктәбе, гимназия, лицей);</w:t>
      </w:r>
    </w:p>
    <w:p>
      <w:pPr>
        <w:pStyle w:val="Normal"/>
        <w:ind w:left="0" w:right="0" w:firstLine="709"/>
        <w:jc w:val="both"/>
        <w:rPr>
          <w:rFonts w:cs="Times New Roman"/>
          <w:bCs/>
          <w:color w:val="000000"/>
          <w:sz w:val="28"/>
          <w:szCs w:val="28"/>
          <w:lang w:val="tt-RU"/>
        </w:rPr>
      </w:pPr>
      <w:r>
        <w:rPr>
          <w:rFonts w:cs="Times New Roman"/>
          <w:bCs/>
          <w:color w:val="000000"/>
          <w:sz w:val="28"/>
          <w:szCs w:val="28"/>
          <w:lang w:val="tt-RU"/>
        </w:rPr>
        <w:t>гамәлгә ашырылучы гомуми белем программалары төренә (үсешләрендә тайпылышлар булган балалар өчен, индивидуаль укыту, экстернат).</w:t>
      </w:r>
    </w:p>
    <w:p>
      <w:pPr>
        <w:pStyle w:val="Normal"/>
        <w:ind w:left="0" w:right="0" w:firstLine="709"/>
        <w:jc w:val="both"/>
        <w:rPr>
          <w:rFonts w:eastAsia="Arial" w:cs="Times New Roman"/>
          <w:i w:val="false"/>
          <w:i w:val="false"/>
          <w:iCs w:val="false"/>
          <w:caps w:val="false"/>
          <w:smallCaps w:val="false"/>
          <w:color w:val="000000"/>
          <w:spacing w:val="0"/>
          <w:sz w:val="28"/>
          <w:szCs w:val="28"/>
          <w:lang w:val="tt-RU"/>
        </w:rPr>
      </w:pPr>
      <w:r>
        <w:rPr>
          <w:rFonts w:cs="Times New Roman"/>
          <w:bCs/>
          <w:color w:val="000000"/>
          <w:sz w:val="28"/>
          <w:szCs w:val="28"/>
          <w:lang w:val="tt-RU"/>
        </w:rPr>
        <w:t>Нормативлар елына бер укучыга исәпләп, аз комплектлы мәктәпләрдә укучылар санына бәйсез рәвештә сыйныф-комплектка карата билгеләнә.</w:t>
      </w:r>
    </w:p>
    <w:p>
      <w:pPr>
        <w:pStyle w:val="Normal"/>
        <w:ind w:left="0" w:right="0" w:firstLine="709"/>
        <w:jc w:val="both"/>
        <w:rPr>
          <w:rFonts w:eastAsia="Arial" w:cs="Times New Roman"/>
          <w:i w:val="false"/>
          <w:i w:val="false"/>
          <w:iCs w:val="false"/>
          <w:caps w:val="false"/>
          <w:smallCaps w:val="false"/>
          <w:color w:val="000000"/>
          <w:spacing w:val="0"/>
          <w:sz w:val="28"/>
          <w:szCs w:val="28"/>
          <w:lang w:val="tt-RU"/>
        </w:rPr>
      </w:pPr>
      <w:r>
        <w:rPr>
          <w:rFonts w:eastAsia="Arial" w:cs="Times New Roman"/>
          <w:i w:val="false"/>
          <w:iCs w:val="false"/>
          <w:caps w:val="false"/>
          <w:smallCaps w:val="false"/>
          <w:color w:val="000000"/>
          <w:spacing w:val="0"/>
          <w:sz w:val="28"/>
          <w:szCs w:val="28"/>
          <w:lang w:val="tt-RU"/>
        </w:rPr>
        <w:t>Татарстан Республикасы Министрлар Кабинетының 2017 елның</w:t>
        <w:br/>
        <w:t xml:space="preserve">8 августындагы 566 номерлы карары белән расланган «Татарстан Республикасы гомуми белем бирү оешмаларында һәркем өчен мөмкин булган һәм түләүсез мәктәпкәчә, башлангыч гомуми, төп гомуми, урта гомуми белем, шулай ук өстәмә белем алуга хокукларны гамәлгә ашыруның дәүләт гарантияләрен тәэмин итүгә норматив чыгымнарны исәпләү тәртибе турында» Нигезләмәнең 6 пункты нигезендә 2027-2029 елларга дәреслекләрнең бәясе  чираттагы финанс елына һәм план чорына Татарстан Республикасы бюджетын формалаштырганда кулланыла торган индекс-дефляторларны исәпкә алып карала. </w:t>
      </w:r>
    </w:p>
    <w:p>
      <w:pPr>
        <w:pStyle w:val="Normal"/>
        <w:ind w:left="0" w:right="0" w:firstLine="709"/>
        <w:jc w:val="both"/>
        <w:rPr>
          <w:rFonts w:eastAsia="Arial" w:cs="Times New Roman"/>
          <w:i w:val="false"/>
          <w:i w:val="false"/>
          <w:iCs w:val="false"/>
          <w:caps w:val="false"/>
          <w:smallCaps w:val="false"/>
          <w:color w:val="0000FF"/>
          <w:spacing w:val="0"/>
          <w:sz w:val="28"/>
          <w:szCs w:val="28"/>
          <w:lang w:val="tt-RU"/>
        </w:rPr>
      </w:pPr>
      <w:r>
        <w:rPr>
          <w:rFonts w:eastAsia="Arial" w:cs="Times New Roman"/>
          <w:i w:val="false"/>
          <w:iCs w:val="false"/>
          <w:caps w:val="false"/>
          <w:smallCaps w:val="false"/>
          <w:color w:val="000000"/>
          <w:spacing w:val="0"/>
          <w:sz w:val="28"/>
          <w:szCs w:val="28"/>
          <w:lang w:val="tt-RU"/>
        </w:rPr>
        <w:t>2027 елга һәм 2028 һәм 2029 елларның планлы чорына Россия Федерациясе социаль-икътисадый үсешенең сценарий шартларының төп параметрлары нигезендә 2027 елга һәм 2028 һәм 2029 елларның планлы чорына Татарстан Республикасы бюджетын формалаштырганда әлеге чыгымнар өчен индекс-дефлятор 1 гә тигез дип кабул ителде.</w:t>
      </w:r>
    </w:p>
    <w:p>
      <w:pPr>
        <w:pStyle w:val="Normal"/>
        <w:ind w:left="0" w:right="0" w:firstLine="709"/>
        <w:jc w:val="both"/>
        <w:rPr>
          <w:rFonts w:eastAsia="Arial" w:cs="Times New Roman"/>
          <w:i w:val="false"/>
          <w:i w:val="false"/>
          <w:iCs w:val="false"/>
          <w:caps w:val="false"/>
          <w:smallCaps w:val="false"/>
          <w:color w:val="0000FF"/>
          <w:spacing w:val="0"/>
          <w:sz w:val="28"/>
          <w:szCs w:val="28"/>
          <w:lang w:val="tt-RU"/>
        </w:rPr>
      </w:pPr>
      <w:r>
        <w:rPr>
          <w:rFonts w:eastAsia="Arial" w:cs="Times New Roman"/>
          <w:i w:val="false"/>
          <w:iCs w:val="false"/>
          <w:caps w:val="false"/>
          <w:smallCaps w:val="false"/>
          <w:color w:val="0000FF"/>
          <w:spacing w:val="0"/>
          <w:sz w:val="28"/>
          <w:szCs w:val="28"/>
          <w:lang w:val="tt-RU"/>
        </w:rPr>
      </w:r>
    </w:p>
    <w:p>
      <w:pPr>
        <w:pStyle w:val="Normal"/>
        <w:ind w:left="0" w:right="0" w:firstLine="720"/>
        <w:jc w:val="both"/>
        <w:rPr>
          <w:rFonts w:eastAsia="Arial" w:cs="Times New Roman"/>
          <w:i w:val="false"/>
          <w:i w:val="false"/>
          <w:iCs w:val="false"/>
          <w:caps w:val="false"/>
          <w:smallCaps w:val="false"/>
          <w:color w:val="0000FF"/>
          <w:spacing w:val="0"/>
          <w:sz w:val="28"/>
          <w:szCs w:val="28"/>
          <w:lang w:val="tt-RU"/>
        </w:rPr>
      </w:pPr>
      <w:r>
        <w:rPr>
          <w:rFonts w:eastAsia="Arial" w:cs="Times New Roman"/>
          <w:i w:val="false"/>
          <w:iCs w:val="false"/>
          <w:caps w:val="false"/>
          <w:smallCaps w:val="false"/>
          <w:color w:val="0000FF"/>
          <w:spacing w:val="0"/>
          <w:sz w:val="28"/>
          <w:szCs w:val="28"/>
          <w:lang w:val="tt-RU"/>
        </w:rPr>
      </w:r>
    </w:p>
    <w:p>
      <w:pPr>
        <w:pStyle w:val="Normal"/>
        <w:ind w:left="0" w:right="0" w:firstLine="720"/>
        <w:jc w:val="both"/>
        <w:rPr>
          <w:rFonts w:eastAsia="Arial" w:cs="Times New Roman"/>
          <w:i w:val="false"/>
          <w:i w:val="false"/>
          <w:iCs w:val="false"/>
          <w:caps w:val="false"/>
          <w:smallCaps w:val="false"/>
          <w:color w:val="0000FF"/>
          <w:spacing w:val="0"/>
          <w:sz w:val="28"/>
          <w:szCs w:val="28"/>
          <w:lang w:val="tt-RU"/>
        </w:rPr>
      </w:pPr>
      <w:r>
        <w:rPr>
          <w:rFonts w:eastAsia="Arial" w:cs="Times New Roman"/>
          <w:i w:val="false"/>
          <w:iCs w:val="false"/>
          <w:caps w:val="false"/>
          <w:smallCaps w:val="false"/>
          <w:color w:val="0000FF"/>
          <w:spacing w:val="0"/>
          <w:sz w:val="28"/>
          <w:szCs w:val="28"/>
          <w:lang w:val="tt-RU"/>
        </w:rPr>
      </w:r>
    </w:p>
    <w:sectPr>
      <w:headerReference w:type="default" r:id="rId2"/>
      <w:headerReference w:type="first" r:id="rId3"/>
      <w:type w:val="nextPage"/>
      <w:pgSz w:w="11906" w:h="16838"/>
      <w:pgMar w:left="1134" w:right="567" w:gutter="0" w:header="1134" w:top="1559"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default"/>
  </w:font>
  <w:font w:name="Tahoma">
    <w:charset w:val="01"/>
    <w:family w:val="roman"/>
    <w:pitch w:val="default"/>
  </w:font>
  <w:font w:name="Liberation Sans">
    <w:altName w:val="Arial"/>
    <w:charset w:val="01"/>
    <w:family w:val="roman"/>
    <w:pitch w:val="default"/>
  </w:font>
  <w:font w:name="Arial">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7"/>
      <w:rPr>
        <w:lang w:val="tt-RU"/>
      </w:rPr>
    </w:pPr>
    <w:r>
      <w:rPr>
        <w:lang w:val="tt-RU"/>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74930" cy="173355"/>
              <wp:effectExtent l="0" t="0" r="0" b="0"/>
              <wp:wrapSquare wrapText="bothSides"/>
              <wp:docPr id="1" name="Врезка1"/>
              <a:graphic xmlns:a="http://schemas.openxmlformats.org/drawingml/2006/main">
                <a:graphicData uri="http://schemas.microsoft.com/office/word/2010/wordprocessingShape">
                  <wps:wsp>
                    <wps:cNvSpPr/>
                    <wps:spPr>
                      <a:xfrm>
                        <a:off x="0" y="0"/>
                        <a:ext cx="74880" cy="173520"/>
                      </a:xfrm>
                      <a:prstGeom prst="rect">
                        <a:avLst/>
                      </a:prstGeom>
                      <a:noFill/>
                      <a:ln w="0">
                        <a:noFill/>
                      </a:ln>
                    </wps:spPr>
                    <wps:style>
                      <a:lnRef idx="0"/>
                      <a:fillRef idx="0"/>
                      <a:effectRef idx="0"/>
                      <a:fontRef idx="minor"/>
                    </wps:style>
                    <wps:txbx>
                      <w:txbxContent>
                        <w:p>
                          <w:pPr>
                            <w:pStyle w:val="Style27"/>
                            <w:rPr/>
                          </w:pPr>
                          <w:r>
                            <w:rPr>
                              <w:rStyle w:val="Style15"/>
                              <w:color w:val="000000"/>
                              <w:lang w:val="tt-RU"/>
                            </w:rPr>
                            <w:fldChar w:fldCharType="begin"/>
                          </w:r>
                          <w:r>
                            <w:rPr>
                              <w:rStyle w:val="Style15"/>
                              <w:color w:val="000000"/>
                              <w:lang w:val="tt-RU"/>
                            </w:rPr>
                            <w:instrText xml:space="preserve"> PAGE </w:instrText>
                          </w:r>
                          <w:r>
                            <w:rPr>
                              <w:rStyle w:val="Style15"/>
                              <w:color w:val="000000"/>
                              <w:lang w:val="tt-RU"/>
                            </w:rPr>
                            <w:fldChar w:fldCharType="separate"/>
                          </w:r>
                          <w:r>
                            <w:rPr>
                              <w:rStyle w:val="Style15"/>
                              <w:color w:val="000000"/>
                              <w:lang w:val="tt-RU"/>
                            </w:rPr>
                            <w:t>2</w:t>
                          </w:r>
                          <w:r>
                            <w:rPr>
                              <w:rStyle w:val="Style15"/>
                              <w:color w:val="000000"/>
                              <w:lang w:val="tt-RU"/>
                            </w:rPr>
                            <w:fldChar w:fldCharType="end"/>
                          </w:r>
                        </w:p>
                      </w:txbxContent>
                    </wps:txbx>
                    <wps:bodyPr lIns="1800" rIns="1800" tIns="1800" bIns="1800" anchor="t">
                      <a:noAutofit/>
                    </wps:bodyPr>
                  </wps:wsp>
                </a:graphicData>
              </a:graphic>
            </wp:anchor>
          </w:drawing>
        </mc:Choice>
        <mc:Fallback>
          <w:pict>
            <v:rect id="shape_0" ID="Врезка1" path="m0,0l-2147483645,0l-2147483645,-2147483646l0,-2147483646xe" stroked="f" o:allowincell="f" style="position:absolute;margin-left:252.15pt;margin-top:0.05pt;width:5.85pt;height:13.6pt;mso-wrap-style:square;v-text-anchor:top;mso-position-horizontal:center;mso-position-horizontal-relative:margin">
              <v:fill o:detectmouseclick="t" on="false"/>
              <v:stroke color="#3465a4" joinstyle="round" endcap="flat"/>
              <v:textbox>
                <w:txbxContent>
                  <w:p>
                    <w:pPr>
                      <w:pStyle w:val="Style27"/>
                      <w:rPr/>
                    </w:pPr>
                    <w:r>
                      <w:rPr>
                        <w:rStyle w:val="Style15"/>
                        <w:color w:val="000000"/>
                        <w:lang w:val="tt-RU"/>
                      </w:rPr>
                      <w:fldChar w:fldCharType="begin"/>
                    </w:r>
                    <w:r>
                      <w:rPr>
                        <w:rStyle w:val="Style15"/>
                        <w:color w:val="000000"/>
                        <w:lang w:val="tt-RU"/>
                      </w:rPr>
                      <w:instrText xml:space="preserve"> PAGE </w:instrText>
                    </w:r>
                    <w:r>
                      <w:rPr>
                        <w:rStyle w:val="Style15"/>
                        <w:color w:val="000000"/>
                        <w:lang w:val="tt-RU"/>
                      </w:rPr>
                      <w:fldChar w:fldCharType="separate"/>
                    </w:r>
                    <w:r>
                      <w:rPr>
                        <w:rStyle w:val="Style15"/>
                        <w:color w:val="000000"/>
                        <w:lang w:val="tt-RU"/>
                      </w:rPr>
                      <w:t>2</w:t>
                    </w:r>
                    <w:r>
                      <w:rPr>
                        <w:rStyle w:val="Style15"/>
                        <w:color w:val="000000"/>
                        <w:lang w:val="tt-RU"/>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7"/>
      <w:rPr>
        <w:lang w:val="tt-RU"/>
      </w:rPr>
    </w:pPr>
    <w:r>
      <w:rPr>
        <w:lang w:val="tt-RU"/>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NSimSun" w:cs="Mangal"/>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tt-RU" w:eastAsia="zh-CN" w:bidi="ar-SA"/>
    </w:rPr>
  </w:style>
  <w:style w:type="character" w:styleId="Style14">
    <w:name w:val="Основной шрифт абзаца"/>
    <w:qFormat/>
    <w:rPr/>
  </w:style>
  <w:style w:type="character" w:styleId="-">
    <w:name w:val="Hyperlink"/>
    <w:rPr>
      <w:color w:val="0000FF"/>
      <w:u w:val="single"/>
    </w:rPr>
  </w:style>
  <w:style w:type="character" w:styleId="1">
    <w:name w:val="Основной шрифт абзаца1"/>
    <w:qFormat/>
    <w:rPr/>
  </w:style>
  <w:style w:type="character" w:styleId="Style15">
    <w:name w:val="Page Number"/>
    <w:basedOn w:val="1"/>
    <w:rPr/>
  </w:style>
  <w:style w:type="character" w:styleId="WW8Num1z0">
    <w:name w:val="WW8Num1z0"/>
    <w:qFormat/>
    <w:rPr/>
  </w:style>
  <w:style w:type="character" w:styleId="Style16">
    <w:name w:val="Нижний колонтитул Знак"/>
    <w:qFormat/>
    <w:rPr>
      <w:sz w:val="24"/>
      <w:szCs w:val="24"/>
    </w:rPr>
  </w:style>
  <w:style w:type="character" w:styleId="Style17">
    <w:name w:val="Текст выноски Знак"/>
    <w:qFormat/>
    <w:rPr>
      <w:rFonts w:ascii="Tahoma" w:hAnsi="Tahoma" w:cs="Tahoma"/>
      <w:sz w:val="16"/>
      <w:szCs w:val="16"/>
    </w:rPr>
  </w:style>
  <w:style w:type="character" w:styleId="Style18">
    <w:name w:val="МФ РТ Знак"/>
    <w:qFormat/>
    <w:rPr>
      <w:sz w:val="28"/>
    </w:rPr>
  </w:style>
  <w:style w:type="paragraph" w:styleId="Style19">
    <w:name w:val="Заголовок"/>
    <w:basedOn w:val="Normal"/>
    <w:next w:val="Style20"/>
    <w:qFormat/>
    <w:pPr>
      <w:keepNext w:val="true"/>
      <w:spacing w:before="240" w:after="120"/>
    </w:pPr>
    <w:rPr>
      <w:rFonts w:ascii="Liberation Sans;Arial" w:hAnsi="Liberation Sans;Arial" w:eastAsia="Microsoft YaHei" w:cs="Mangal;Mysteria Nouveau"/>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cs="Mangal;Mysteria Nouveau"/>
    </w:rPr>
  </w:style>
  <w:style w:type="paragraph" w:styleId="Style22">
    <w:name w:val="Caption"/>
    <w:basedOn w:val="Normal"/>
    <w:qFormat/>
    <w:pPr>
      <w:suppressLineNumbers/>
      <w:spacing w:before="120" w:after="120"/>
    </w:pPr>
    <w:rPr>
      <w:rFonts w:ascii="PT Astra Serif" w:hAnsi="PT Astra Serif" w:cs="Mangal"/>
      <w:i/>
      <w:iCs/>
      <w:sz w:val="24"/>
      <w:szCs w:val="24"/>
    </w:rPr>
  </w:style>
  <w:style w:type="paragraph" w:styleId="Style23">
    <w:name w:val="Указатель"/>
    <w:basedOn w:val="Normal"/>
    <w:qFormat/>
    <w:pPr>
      <w:suppressLineNumbers/>
    </w:pPr>
    <w:rPr>
      <w:rFonts w:ascii="PT Astra Serif" w:hAnsi="PT Astra Serif" w:cs="Mangal"/>
    </w:rPr>
  </w:style>
  <w:style w:type="paragraph" w:styleId="Style24">
    <w:name w:val="Текст выноски"/>
    <w:basedOn w:val="Normal"/>
    <w:qFormat/>
    <w:pPr/>
    <w:rPr>
      <w:rFonts w:ascii="Tahoma" w:hAnsi="Tahoma" w:cs="Tahoma"/>
      <w:sz w:val="16"/>
      <w:szCs w:val="16"/>
    </w:rPr>
  </w:style>
  <w:style w:type="paragraph" w:styleId="Style25">
    <w:name w:val="Название объекта"/>
    <w:basedOn w:val="Normal"/>
    <w:qFormat/>
    <w:pPr>
      <w:suppressLineNumbers/>
      <w:spacing w:before="120" w:after="120"/>
    </w:pPr>
    <w:rPr>
      <w:rFonts w:cs="Mangal;Mysteria Nouveau"/>
      <w:i/>
      <w:iCs/>
      <w:sz w:val="24"/>
      <w:szCs w:val="24"/>
    </w:rPr>
  </w:style>
  <w:style w:type="paragraph" w:styleId="Style26">
    <w:name w:val="Колонтитул"/>
    <w:basedOn w:val="Normal"/>
    <w:qFormat/>
    <w:pPr>
      <w:suppressLineNumbers/>
      <w:tabs>
        <w:tab w:val="clear" w:pos="708"/>
        <w:tab w:val="center" w:pos="4819" w:leader="none"/>
        <w:tab w:val="right" w:pos="9638" w:leader="none"/>
      </w:tabs>
    </w:pPr>
    <w:rPr/>
  </w:style>
  <w:style w:type="paragraph" w:styleId="Style27">
    <w:name w:val="Header"/>
    <w:basedOn w:val="Normal"/>
    <w:pPr>
      <w:tabs>
        <w:tab w:val="clear" w:pos="708"/>
        <w:tab w:val="center" w:pos="4677" w:leader="none"/>
        <w:tab w:val="right" w:pos="9355" w:leader="none"/>
      </w:tabs>
    </w:pPr>
    <w:rPr/>
  </w:style>
  <w:style w:type="paragraph" w:styleId="Style28">
    <w:name w:val="Footer"/>
    <w:basedOn w:val="Normal"/>
    <w:pPr>
      <w:tabs>
        <w:tab w:val="clear" w:pos="708"/>
        <w:tab w:val="center" w:pos="4677" w:leader="none"/>
        <w:tab w:val="right" w:pos="9355" w:leader="none"/>
      </w:tabs>
    </w:pPr>
    <w:rPr/>
  </w:style>
  <w:style w:type="paragraph" w:styleId="11">
    <w:name w:val="Указатель1"/>
    <w:basedOn w:val="Normal"/>
    <w:qFormat/>
    <w:pPr>
      <w:suppressLineNumbers/>
    </w:pPr>
    <w:rPr>
      <w:rFonts w:cs="Mangal;Mysteria Nouveau"/>
    </w:rPr>
  </w:style>
  <w:style w:type="paragraph" w:styleId="ConsPlusTitle">
    <w:name w:val="ConsPlusTitle"/>
    <w:qFormat/>
    <w:pPr>
      <w:widowControl w:val="false"/>
      <w:suppressAutoHyphens w:val="true"/>
      <w:bidi w:val="0"/>
      <w:spacing w:before="0" w:after="0"/>
      <w:jc w:val="left"/>
    </w:pPr>
    <w:rPr>
      <w:rFonts w:ascii="Arial" w:hAnsi="Arial" w:eastAsia="Times New Roman" w:cs="Arial"/>
      <w:b/>
      <w:bCs/>
      <w:color w:val="auto"/>
      <w:kern w:val="0"/>
      <w:sz w:val="20"/>
      <w:szCs w:val="20"/>
      <w:lang w:val="tt-RU" w:eastAsia="zh-CN" w:bidi="ar-SA"/>
    </w:rPr>
  </w:style>
  <w:style w:type="paragraph" w:styleId="Style29">
    <w:name w:val="Колонтитулы"/>
    <w:basedOn w:val="Normal"/>
    <w:qFormat/>
    <w:pPr>
      <w:suppressLineNumbers/>
      <w:tabs>
        <w:tab w:val="clear" w:pos="708"/>
        <w:tab w:val="center" w:pos="4819" w:leader="none"/>
        <w:tab w:val="right" w:pos="9638" w:leader="none"/>
      </w:tabs>
    </w:pPr>
    <w:rPr/>
  </w:style>
  <w:style w:type="paragraph" w:styleId="Style30">
    <w:name w:val="МФ РТ"/>
    <w:basedOn w:val="Normal"/>
    <w:qFormat/>
    <w:pPr>
      <w:spacing w:lineRule="auto" w:line="288"/>
      <w:ind w:left="0" w:right="142" w:firstLine="709"/>
    </w:pPr>
    <w:rPr>
      <w:sz w:val="28"/>
      <w:szCs w:val="20"/>
    </w:rPr>
  </w:style>
  <w:style w:type="paragraph" w:styleId="Style31">
    <w:name w:val="Содержимое врезки"/>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LibreOffice/7.5.6.2$Linux_X86_64 LibreOffice_project/50$Build-2</Application>
  <AppVersion>15.0000</AppVersion>
  <Pages>2</Pages>
  <Words>611</Words>
  <Characters>4342</Characters>
  <CharactersWithSpaces>4941</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2018-08-17T09:29:00Z</dcterms:created>
  <dc:creator>mitrofanova</dc:creator>
  <dc:description/>
  <dc:language>ru-RU</dc:language>
  <cp:lastModifiedBy/>
  <cp:lastPrinted>2025-08-04T14:22:00Z</cp:lastPrinted>
  <dcterms:modified xsi:type="dcterms:W3CDTF">2026-09-02T13:45:52Z</dcterms:modified>
  <cp:revision>6</cp:revision>
  <dc:subject/>
  <dc:title>ПОЯСНИТЕЛЬНАЯ ЗАПИСКА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A1FE60AA3F8641D7ADB6B5BFB0E8BD01_13</vt:lpwstr>
  </property>
  <property fmtid="{D5CDD505-2E9C-101B-9397-08002B2CF9AE}" pid="3" name="KSOProductBuildVer">
    <vt:lpwstr>1049-12.1.0.28032</vt:lpwstr>
  </property>
  <property fmtid="{D5CDD505-2E9C-101B-9397-08002B2CF9AE}" pid="4" name="KSOTemplateDocerSaveRecord">
    <vt:lpwstr>eyJoZGlkIjoiN2M0NmMyOTMwNTBhNTYxMjAzMjcyMTM0YzNjYjBlYjEiLCJ1c2VySWQiOiI4NDIyOTQzNjYxNzkifQ==</vt:lpwstr>
  </property>
</Properties>
</file>