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ПОЯСНИТЕЛЬНАЯ ЗАПИСКА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к проекту закона Республики Татарстан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«Об установлении на 202</w:t>
      </w:r>
      <w:r>
        <w:rPr>
          <w:b/>
          <w:bCs/>
          <w:sz w:val="28"/>
          <w:szCs w:val="28"/>
        </w:rPr>
        <w:t xml:space="preserve">7</w:t>
      </w:r>
      <w:r>
        <w:rPr>
          <w:b/>
          <w:bCs/>
          <w:sz w:val="28"/>
          <w:szCs w:val="28"/>
        </w:rPr>
        <w:t xml:space="preserve"> год коэффициента, отражающего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региональные особенности рынка труда в Республике Татарстан»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Проект закона Республики Татарстан «Об установлении на 2027 год коэффициента, отражающего региональные особенности рынка труда в Республике Татарстан»</w:t>
      </w:r>
      <w:r>
        <w:rPr>
          <w:sz w:val="28"/>
          <w:szCs w:val="28"/>
        </w:rPr>
        <w:t xml:space="preserve"> (далее – законопроект) разработан в соответствии с пунктом 3 статьи 227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140" w:firstLine="709"/>
        <w:jc w:val="both"/>
        <w:rPr>
          <w:bCs/>
          <w:sz w:val="28"/>
          <w:szCs w:val="28"/>
        </w:rPr>
      </w:pPr>
      <w:r>
        <w:rPr>
          <w:rFonts w:ascii="Arial" w:hAnsi="Arial" w:cs="Arial"/>
          <w:color w:val="333333"/>
        </w:rPr>
        <w:t xml:space="preserve"> </w:t>
      </w:r>
      <w:r>
        <w:rPr>
          <w:bCs/>
          <w:sz w:val="28"/>
          <w:szCs w:val="28"/>
        </w:rPr>
        <w:t xml:space="preserve">Федеральным законом от 26 июля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2026 года № 242-ФЗ «О внесении изменений в статьи 85 и 102 части первой и статью </w:t>
      </w:r>
      <w:r>
        <w:rPr>
          <w:sz w:val="28"/>
          <w:szCs w:val="28"/>
        </w:rPr>
        <w:t xml:space="preserve">227</w:t>
      </w:r>
      <w:r>
        <w:rPr>
          <w:sz w:val="28"/>
          <w:szCs w:val="28"/>
          <w:vertAlign w:val="superscript"/>
        </w:rPr>
        <w:t xml:space="preserve">1 </w:t>
      </w:r>
      <w:r>
        <w:rPr>
          <w:bCs/>
          <w:sz w:val="28"/>
          <w:szCs w:val="28"/>
        </w:rPr>
        <w:t xml:space="preserve">части второй Налогового кодекса Российской Федерации» (далее – Федеральный закон № 242-ФЗ) скорректирован порядок уплаты налога на доходы физических лиц от осуществления трудовой        деятельности иностранного гражданина </w:t>
      </w:r>
      <w:r>
        <w:rPr>
          <w:bCs/>
          <w:sz w:val="28"/>
          <w:szCs w:val="28"/>
        </w:rPr>
        <w:t xml:space="preserve">в Российской Федерации</w:t>
      </w:r>
      <w:r>
        <w:rPr>
          <w:bCs/>
          <w:sz w:val="28"/>
          <w:szCs w:val="28"/>
        </w:rPr>
        <w:t xml:space="preserve"> (далее – НДФЛ) </w:t>
      </w:r>
      <w:r>
        <w:rPr>
          <w:bCs/>
          <w:sz w:val="28"/>
          <w:szCs w:val="28"/>
        </w:rPr>
        <w:t xml:space="preserve">следующим категориям иностранных граждан, осуществляющих такую деятельность: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8"/>
        <w:ind w:right="14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иностранные граждане, осуществляющие трудовую деятельность </w:t>
      </w:r>
      <w:r>
        <w:rPr>
          <w:bCs/>
          <w:sz w:val="28"/>
          <w:szCs w:val="28"/>
        </w:rPr>
        <w:t xml:space="preserve">на основании патента</w:t>
      </w:r>
      <w:r>
        <w:rPr>
          <w:bCs/>
          <w:sz w:val="28"/>
          <w:szCs w:val="28"/>
        </w:rPr>
        <w:t xml:space="preserve"> у физических лиц для личных, домашних и иных подобных нужд,            не связанных с осуществлением предпринимательской деятельности;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8"/>
        <w:ind w:right="14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иностранные граждане, осуществляющие трудовую деятельность на основании патента в орган</w:t>
      </w:r>
      <w:r>
        <w:rPr>
          <w:bCs/>
          <w:sz w:val="28"/>
          <w:szCs w:val="28"/>
        </w:rPr>
        <w:t xml:space="preserve">изациях и (или) у индивидуальных предпринимателей, а также у занимающихся частной практикой нотариусов,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8"/>
        <w:ind w:right="14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временно и постоянно проживающие в Российской Федерации иностранные граждане, осуществляющие трудовую деятельность у физических лиц для лич</w:t>
      </w:r>
      <w:r>
        <w:rPr>
          <w:bCs/>
          <w:sz w:val="28"/>
          <w:szCs w:val="28"/>
        </w:rPr>
        <w:t xml:space="preserve">ных, домашних и иных подобных нужд, не связанных с осуществлением предпринимательской деятельности, а также иностранные граждане, осуществляющие трудовую деятельность в Российской Федерации без разрешения на работу или патента в соответствии с Федеральным </w:t>
      </w:r>
      <w:hyperlink r:id="rId12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26.07.2026) {КонсультантПлюс}" w:history="1">
        <w:r>
          <w:rPr>
            <w:bCs/>
            <w:sz w:val="28"/>
            <w:szCs w:val="28"/>
          </w:rPr>
          <w:t xml:space="preserve">законом</w:t>
        </w:r>
      </w:hyperlink>
      <w:r>
        <w:rPr>
          <w:bCs/>
          <w:sz w:val="28"/>
          <w:szCs w:val="28"/>
        </w:rPr>
        <w:t xml:space="preserve"> от 25 июля 2002 года </w:t>
      </w:r>
      <w:r>
        <w:rPr>
          <w:bCs/>
          <w:sz w:val="28"/>
          <w:szCs w:val="28"/>
        </w:rPr>
        <w:t xml:space="preserve">№</w:t>
      </w:r>
      <w:r>
        <w:rPr>
          <w:bCs/>
          <w:sz w:val="28"/>
          <w:szCs w:val="28"/>
        </w:rPr>
        <w:t xml:space="preserve"> 115-ФЗ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правовом положении иностранных граждан в Российской Федерации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или международными договорами Российской Федерации у физических лиц для личных, домашних и иных подобных нужд, не связанных с осуществлением предпринимательской        деятельности.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right="14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1 января 2027 года </w:t>
      </w:r>
      <w:r>
        <w:rPr>
          <w:bCs/>
          <w:sz w:val="28"/>
          <w:szCs w:val="28"/>
        </w:rPr>
        <w:t xml:space="preserve">д</w:t>
      </w:r>
      <w:r>
        <w:rPr>
          <w:bCs/>
          <w:sz w:val="28"/>
          <w:szCs w:val="28"/>
        </w:rPr>
        <w:t xml:space="preserve">ля всех </w:t>
      </w:r>
      <w:r>
        <w:rPr>
          <w:bCs/>
          <w:sz w:val="28"/>
          <w:szCs w:val="28"/>
        </w:rPr>
        <w:t xml:space="preserve">иностранных граждан, осуществляющих трудовую деятельность у физических лиц</w:t>
      </w:r>
      <w:r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 xml:space="preserve">пункты 1 и 3</w:t>
      </w:r>
      <w:r>
        <w:rPr>
          <w:bCs/>
          <w:sz w:val="28"/>
          <w:szCs w:val="28"/>
        </w:rPr>
        <w:t xml:space="preserve">), установлены ежемесячные фиксированные авансовые платежи по НДФЛ в размере 1 700 руб</w:t>
      </w:r>
      <w:r>
        <w:rPr>
          <w:bCs/>
          <w:sz w:val="28"/>
          <w:szCs w:val="28"/>
        </w:rPr>
        <w:t xml:space="preserve">лей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right="140" w:firstLine="709"/>
        <w:jc w:val="both"/>
        <w:widowControl w:val="off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Для и</w:t>
      </w:r>
      <w:r>
        <w:rPr>
          <w:bCs/>
          <w:sz w:val="28"/>
          <w:szCs w:val="28"/>
        </w:rPr>
        <w:t xml:space="preserve">ностранны</w:t>
      </w:r>
      <w:r>
        <w:rPr>
          <w:bCs/>
          <w:sz w:val="28"/>
          <w:szCs w:val="28"/>
        </w:rPr>
        <w:t xml:space="preserve">х</w:t>
      </w:r>
      <w:r>
        <w:rPr>
          <w:bCs/>
          <w:sz w:val="28"/>
          <w:szCs w:val="28"/>
        </w:rPr>
        <w:t xml:space="preserve"> граждан, работающи</w:t>
      </w:r>
      <w:r>
        <w:rPr>
          <w:bCs/>
          <w:sz w:val="28"/>
          <w:szCs w:val="28"/>
        </w:rPr>
        <w:t xml:space="preserve">х</w:t>
      </w:r>
      <w:r>
        <w:rPr>
          <w:bCs/>
          <w:sz w:val="28"/>
          <w:szCs w:val="28"/>
        </w:rPr>
        <w:t xml:space="preserve"> в организациях и (или) у индивидуальных предпринимателей на основании патента, </w:t>
      </w:r>
      <w:r>
        <w:rPr>
          <w:bCs/>
          <w:sz w:val="28"/>
          <w:szCs w:val="28"/>
        </w:rPr>
        <w:t xml:space="preserve">размер</w:t>
      </w:r>
      <w:r>
        <w:rPr>
          <w:bCs/>
          <w:sz w:val="28"/>
          <w:szCs w:val="28"/>
        </w:rPr>
        <w:t xml:space="preserve"> фиксированн</w:t>
      </w:r>
      <w:r>
        <w:rPr>
          <w:bCs/>
          <w:sz w:val="28"/>
          <w:szCs w:val="28"/>
        </w:rPr>
        <w:t xml:space="preserve">ого</w:t>
      </w:r>
      <w:r>
        <w:rPr>
          <w:bCs/>
          <w:sz w:val="28"/>
          <w:szCs w:val="28"/>
        </w:rPr>
        <w:t xml:space="preserve"> авансов</w:t>
      </w:r>
      <w:r>
        <w:rPr>
          <w:bCs/>
          <w:sz w:val="28"/>
          <w:szCs w:val="28"/>
        </w:rPr>
        <w:t xml:space="preserve">ого</w:t>
      </w:r>
      <w:r>
        <w:rPr>
          <w:bCs/>
          <w:sz w:val="28"/>
          <w:szCs w:val="28"/>
        </w:rPr>
        <w:t xml:space="preserve"> платеж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 по НДФЛ </w:t>
      </w:r>
      <w:r>
        <w:rPr>
          <w:bCs/>
          <w:sz w:val="28"/>
          <w:szCs w:val="28"/>
        </w:rPr>
        <w:t xml:space="preserve">сохранен</w:t>
      </w:r>
      <w:r>
        <w:rPr>
          <w:bCs/>
          <w:sz w:val="28"/>
          <w:szCs w:val="28"/>
        </w:rPr>
        <w:t xml:space="preserve"> в размере 1 200 руб</w:t>
      </w:r>
      <w:r>
        <w:rPr>
          <w:bCs/>
          <w:sz w:val="28"/>
          <w:szCs w:val="28"/>
        </w:rPr>
        <w:t xml:space="preserve">лей</w:t>
      </w:r>
      <w:r>
        <w:rPr>
          <w:bCs/>
          <w:sz w:val="28"/>
          <w:szCs w:val="28"/>
        </w:rPr>
        <w:t xml:space="preserve"> в месяц.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right="140" w:firstLine="709"/>
        <w:jc w:val="both"/>
        <w:widowControl w:val="off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Указанные авансовые платежи подлежат индексации на коэффициент-дефлятор, а также на региональный коэффициент, установленный законом субъекта             Российской Федерации.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соответствии с положениями Федерального закона               </w:t>
      </w:r>
      <w:r>
        <w:rPr>
          <w:bCs/>
          <w:sz w:val="28"/>
          <w:szCs w:val="28"/>
        </w:rPr>
        <w:t xml:space="preserve">№ 242-ФЗ</w:t>
      </w:r>
      <w:r>
        <w:rPr>
          <w:bCs/>
          <w:sz w:val="28"/>
          <w:szCs w:val="28"/>
        </w:rPr>
        <w:t xml:space="preserve">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 отношении категорий иностранных граждан, указанных в пунктах             1 и 3</w:t>
      </w:r>
      <w:r>
        <w:rPr>
          <w:bCs/>
          <w:sz w:val="28"/>
          <w:szCs w:val="28"/>
        </w:rPr>
        <w:t xml:space="preserve">, субъектам Российской Федерации предоставлено право ежегодно устанавливать региональный коэффициент к фиксированным авансовым платежам по налогу на </w:t>
      </w:r>
      <w:r>
        <w:rPr>
          <w:bCs/>
          <w:sz w:val="28"/>
          <w:szCs w:val="28"/>
        </w:rPr>
        <w:t xml:space="preserve">доходы физических лиц иностранных граждан, осуществляющих трудовую деятельность</w:t>
      </w:r>
      <w:r>
        <w:rPr>
          <w:bCs/>
          <w:sz w:val="28"/>
          <w:szCs w:val="28"/>
        </w:rPr>
        <w:t xml:space="preserve"> в регионе</w:t>
      </w:r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в повышенном размере.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widowControl w:val="off"/>
        <w:rPr>
          <w:b w:val="0"/>
          <w:bCs w:val="0"/>
          <w:sz w:val="28"/>
          <w:szCs w:val="28"/>
          <w:highlight w:val="white"/>
        </w:rPr>
        <w:outlineLvl w:val="0"/>
      </w:pPr>
      <w:r>
        <w:rPr>
          <w:sz w:val="28"/>
          <w:szCs w:val="28"/>
        </w:rPr>
        <w:t xml:space="preserve">Законопроект предусматривает </w:t>
      </w:r>
      <w:r>
        <w:rPr>
          <w:bCs/>
          <w:sz w:val="28"/>
          <w:szCs w:val="28"/>
        </w:rPr>
        <w:t xml:space="preserve">установление на 2027 год </w:t>
      </w:r>
      <w:r>
        <w:rPr>
          <w:b w:val="0"/>
          <w:bCs w:val="0"/>
          <w:sz w:val="28"/>
          <w:szCs w:val="28"/>
        </w:rPr>
        <w:t xml:space="preserve">единого</w:t>
      </w:r>
      <w:r>
        <w:rPr>
          <w:b w:val="0"/>
          <w:bCs w:val="0"/>
          <w:sz w:val="28"/>
          <w:szCs w:val="28"/>
        </w:rPr>
        <w:t xml:space="preserve"> коэффициента, отражающего региональные особенности рынка труда в Республике Татарстан</w:t>
      </w:r>
      <w:r>
        <w:rPr>
          <w:b w:val="0"/>
          <w:bCs w:val="0"/>
          <w:sz w:val="28"/>
          <w:szCs w:val="28"/>
        </w:rPr>
        <w:t xml:space="preserve"> (далее – региональн</w:t>
      </w:r>
      <w:r>
        <w:rPr>
          <w:b w:val="0"/>
          <w:bCs w:val="0"/>
          <w:sz w:val="28"/>
          <w:szCs w:val="28"/>
          <w:highlight w:val="white"/>
        </w:rPr>
        <w:t xml:space="preserve">ый коэффициент), в размере </w:t>
      </w:r>
      <w:r>
        <w:rPr>
          <w:b w:val="0"/>
          <w:bCs w:val="0"/>
          <w:sz w:val="28"/>
          <w:szCs w:val="28"/>
          <w:highlight w:val="white"/>
        </w:rPr>
        <w:t xml:space="preserve">2,77</w:t>
      </w:r>
      <w:r>
        <w:rPr>
          <w:b w:val="0"/>
          <w:bCs w:val="0"/>
          <w:sz w:val="28"/>
          <w:szCs w:val="28"/>
          <w:highlight w:val="white"/>
        </w:rPr>
        <w:t xml:space="preserve"> к фиксированным авансовым платежам по налогу на доходы физических лиц иностранных граждан, осуществляющих на территории республики трудовую деятельность по найму</w:t>
      </w:r>
      <w:r>
        <w:rPr>
          <w:b w:val="0"/>
          <w:bCs w:val="0"/>
          <w:sz w:val="28"/>
          <w:szCs w:val="28"/>
          <w:highlight w:val="white"/>
        </w:rPr>
        <w:t xml:space="preserve">,</w:t>
      </w:r>
      <w:r>
        <w:rPr>
          <w:b w:val="0"/>
          <w:bCs w:val="0"/>
          <w:sz w:val="28"/>
          <w:szCs w:val="28"/>
          <w:highlight w:val="white"/>
        </w:rPr>
        <w:t xml:space="preserve"> как у физических, так и юридических лиц </w:t>
      </w:r>
      <w:r>
        <w:rPr>
          <w:b w:val="0"/>
          <w:bCs w:val="0"/>
          <w:sz w:val="28"/>
          <w:szCs w:val="28"/>
          <w:highlight w:val="white"/>
        </w:rPr>
        <w:t xml:space="preserve">(в 2026 году коэффициент составил – 2,55).</w:t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right="-1"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  <w:highlight w:val="white"/>
        </w:rPr>
        <w:t xml:space="preserve">Определ</w:t>
      </w:r>
      <w:r>
        <w:rPr>
          <w:sz w:val="28"/>
          <w:szCs w:val="28"/>
          <w:highlight w:val="white"/>
        </w:rPr>
        <w:t xml:space="preserve">ение коэффициента базировалось на соотношении 13 пр</w:t>
      </w:r>
      <w:r>
        <w:rPr>
          <w:sz w:val="28"/>
          <w:szCs w:val="28"/>
        </w:rPr>
        <w:t xml:space="preserve">оцентов налога на доходы физических лиц от прогнозной среднемесячной зарплаты иностранных работников на 2027 год (72 667,77 рублей), а также на размере фиксированного авансового платежа по налогу с учетом </w:t>
      </w:r>
      <w:r>
        <w:rPr>
          <w:sz w:val="28"/>
          <w:szCs w:val="28"/>
        </w:rPr>
        <w:t xml:space="preserve">прогноза </w:t>
      </w:r>
      <w:r>
        <w:rPr>
          <w:sz w:val="28"/>
          <w:szCs w:val="28"/>
        </w:rPr>
        <w:t xml:space="preserve">коэффициента-дефлятора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2,842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Предполагаемая </w:t>
      </w:r>
      <w:r>
        <w:rPr>
          <w:sz w:val="28"/>
          <w:szCs w:val="28"/>
        </w:rPr>
        <w:t xml:space="preserve">ежемесячная </w:t>
      </w:r>
      <w:r>
        <w:rPr>
          <w:sz w:val="28"/>
          <w:szCs w:val="28"/>
        </w:rPr>
        <w:t xml:space="preserve">стоимость патента в Республике Татарстан                в 2027 году составит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для иностранных граждан, </w:t>
      </w:r>
      <w:r>
        <w:rPr>
          <w:bCs/>
          <w:sz w:val="28"/>
          <w:szCs w:val="28"/>
        </w:rPr>
        <w:t xml:space="preserve">осуществляющи</w:t>
      </w:r>
      <w:r>
        <w:rPr>
          <w:bCs/>
          <w:sz w:val="28"/>
          <w:szCs w:val="28"/>
        </w:rPr>
        <w:t xml:space="preserve">х</w:t>
      </w:r>
      <w:r>
        <w:rPr>
          <w:bCs/>
          <w:sz w:val="28"/>
          <w:szCs w:val="28"/>
        </w:rPr>
        <w:t xml:space="preserve"> трудовую деятельность на основании патента в организациях и (или) у индивидуальных предпринимателей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9 446,81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(1 200 х 2,842 </w:t>
      </w:r>
      <w:r>
        <w:rPr>
          <w:sz w:val="28"/>
          <w:szCs w:val="28"/>
        </w:rPr>
        <w:t xml:space="preserve">х 2,77),</w:t>
      </w:r>
      <w:r>
        <w:rPr>
          <w:sz w:val="28"/>
          <w:szCs w:val="28"/>
        </w:rPr>
        <w:t xml:space="preserve"> где 1 200 – базовая величина, 2,842 – прогноз коэффициента-дефлятора</w:t>
      </w:r>
      <w:r>
        <w:rPr>
          <w:sz w:val="28"/>
          <w:szCs w:val="28"/>
        </w:rPr>
        <w:t xml:space="preserve">, 2,77 – региональный коэффициент)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widowControl w:val="off"/>
        <w:rPr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для иностранных граждан, осущес</w:t>
      </w:r>
      <w:bookmarkStart w:id="0" w:name="_GoBack"/>
      <w:r/>
      <w:bookmarkEnd w:id="0"/>
      <w:r>
        <w:rPr>
          <w:bCs/>
          <w:sz w:val="28"/>
          <w:szCs w:val="28"/>
        </w:rPr>
        <w:t xml:space="preserve">твляющих трудовую деятельность у физических лиц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bCs/>
          <w:sz w:val="28"/>
          <w:szCs w:val="28"/>
        </w:rPr>
        <w:t xml:space="preserve"> 13 382,98 рублей </w:t>
      </w:r>
      <w:r>
        <w:rPr>
          <w:sz w:val="28"/>
          <w:szCs w:val="28"/>
        </w:rPr>
        <w:t xml:space="preserve">(1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00 х 2,842 х 2,77), где 1 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00 – базовая величина, 2,842 – прогноз коэффициента-дефлятора, 2,77 – региональный коэффициент)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widowControl w:val="off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</w:rPr>
        <w:t xml:space="preserve">Предлагаемый к установлению законопроектом региональный</w:t>
      </w:r>
      <w:r>
        <w:rPr>
          <w:sz w:val="28"/>
          <w:szCs w:val="28"/>
        </w:rPr>
        <w:t xml:space="preserve"> коэффициент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 поступление налогов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иностранных работников, будет способствовать пресечению «теневых» выплат, за счет предоставления юридическим </w:t>
      </w:r>
      <w:r>
        <w:rPr>
          <w:sz w:val="28"/>
          <w:szCs w:val="28"/>
        </w:rPr>
        <w:t xml:space="preserve">и физическим </w:t>
      </w:r>
      <w:r>
        <w:rPr>
          <w:sz w:val="28"/>
          <w:szCs w:val="28"/>
        </w:rPr>
        <w:t xml:space="preserve">лицам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индивидуальным предпринимателям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 легального привлечения ми</w:t>
      </w:r>
      <w:r>
        <w:rPr>
          <w:sz w:val="28"/>
          <w:szCs w:val="28"/>
        </w:rPr>
        <w:t xml:space="preserve">грантов к трудовой деятельности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1"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center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  <w:highlight w:val="none"/>
        </w:rPr>
        <w:t xml:space="preserve">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72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8"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>
    <w:name w:val="Heading 1"/>
    <w:basedOn w:val="874"/>
    <w:next w:val="874"/>
    <w:link w:val="69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7">
    <w:name w:val="Heading 1 Char"/>
    <w:basedOn w:val="87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8">
    <w:name w:val="Heading 2"/>
    <w:basedOn w:val="874"/>
    <w:next w:val="874"/>
    <w:link w:val="69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9">
    <w:name w:val="Heading 2 Char"/>
    <w:basedOn w:val="875"/>
    <w:link w:val="698"/>
    <w:uiPriority w:val="9"/>
    <w:rPr>
      <w:rFonts w:ascii="Liberation Sans" w:hAnsi="Liberation Sans" w:eastAsia="Liberation Sans" w:cs="Liberation Sans"/>
      <w:sz w:val="34"/>
    </w:rPr>
  </w:style>
  <w:style w:type="paragraph" w:styleId="700">
    <w:name w:val="Heading 3"/>
    <w:basedOn w:val="874"/>
    <w:next w:val="874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1">
    <w:name w:val="Heading 3 Char"/>
    <w:basedOn w:val="875"/>
    <w:link w:val="70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2">
    <w:name w:val="Heading 4"/>
    <w:basedOn w:val="874"/>
    <w:next w:val="874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4 Char"/>
    <w:basedOn w:val="875"/>
    <w:link w:val="70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4">
    <w:name w:val="Heading 5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5">
    <w:name w:val="Heading 5 Char"/>
    <w:basedOn w:val="875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6">
    <w:name w:val="Heading 6"/>
    <w:basedOn w:val="874"/>
    <w:next w:val="874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7">
    <w:name w:val="Heading 6 Char"/>
    <w:basedOn w:val="875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8">
    <w:name w:val="Heading 7"/>
    <w:basedOn w:val="874"/>
    <w:next w:val="874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9">
    <w:name w:val="Heading 7 Char"/>
    <w:basedOn w:val="875"/>
    <w:link w:val="70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0">
    <w:name w:val="Heading 8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1">
    <w:name w:val="Heading 8 Char"/>
    <w:basedOn w:val="875"/>
    <w:link w:val="71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2">
    <w:name w:val="Heading 9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3">
    <w:name w:val="Heading 9 Char"/>
    <w:basedOn w:val="875"/>
    <w:link w:val="71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4">
    <w:name w:val="List Paragraph"/>
    <w:basedOn w:val="874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4"/>
    <w:next w:val="874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5"/>
    <w:link w:val="716"/>
    <w:uiPriority w:val="10"/>
    <w:rPr>
      <w:sz w:val="48"/>
      <w:szCs w:val="48"/>
    </w:rPr>
  </w:style>
  <w:style w:type="paragraph" w:styleId="718">
    <w:name w:val="Subtitle"/>
    <w:basedOn w:val="874"/>
    <w:next w:val="874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5"/>
    <w:link w:val="718"/>
    <w:uiPriority w:val="11"/>
    <w:rPr>
      <w:sz w:val="24"/>
      <w:szCs w:val="24"/>
    </w:rPr>
  </w:style>
  <w:style w:type="paragraph" w:styleId="720">
    <w:name w:val="Quote"/>
    <w:basedOn w:val="874"/>
    <w:next w:val="874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4"/>
    <w:next w:val="874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paragraph" w:styleId="724">
    <w:name w:val="Header"/>
    <w:basedOn w:val="874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>
    <w:name w:val="Header Char"/>
    <w:basedOn w:val="875"/>
    <w:link w:val="724"/>
    <w:uiPriority w:val="99"/>
  </w:style>
  <w:style w:type="paragraph" w:styleId="726">
    <w:name w:val="Footer"/>
    <w:basedOn w:val="874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Footer Char"/>
    <w:basedOn w:val="875"/>
    <w:link w:val="726"/>
    <w:uiPriority w:val="99"/>
  </w:style>
  <w:style w:type="paragraph" w:styleId="728">
    <w:name w:val="Caption"/>
    <w:basedOn w:val="874"/>
    <w:next w:val="874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875"/>
    <w:link w:val="728"/>
    <w:uiPriority w:val="35"/>
    <w:rPr>
      <w:b/>
      <w:bCs/>
      <w:color w:val="4f81bd" w:themeColor="accent1"/>
      <w:sz w:val="18"/>
      <w:szCs w:val="18"/>
    </w:rPr>
  </w:style>
  <w:style w:type="table" w:styleId="730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3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4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8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9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0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5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5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5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  <w:rPr>
      <w:rFonts w:eastAsia="Times New Roman"/>
      <w:sz w:val="24"/>
      <w:szCs w:val="24"/>
      <w:lang w:eastAsia="ru-RU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 w:customStyle="1">
    <w:name w:val="ConsPlusNormal"/>
    <w:pPr>
      <w:widowControl w:val="off"/>
    </w:pPr>
    <w:rPr>
      <w:rFonts w:eastAsia="Times New Roman"/>
      <w:sz w:val="24"/>
      <w:szCs w:val="20"/>
      <w:lang w:eastAsia="ru-RU"/>
    </w:rPr>
  </w:style>
  <w:style w:type="paragraph" w:styleId="879" w:customStyle="1">
    <w:name w:val="ConsPlusTitle"/>
    <w:pPr>
      <w:widowControl w:val="off"/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80">
    <w:name w:val="Balloon Text"/>
    <w:basedOn w:val="874"/>
    <w:link w:val="88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1" w:customStyle="1">
    <w:name w:val="Текст выноски Знак"/>
    <w:basedOn w:val="875"/>
    <w:link w:val="880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login.consultant.ru/link/?req=doc&amp;base=LAW&amp;n=538227&amp;date=21.08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Kazanceva</dc:creator>
  <cp:lastModifiedBy>social1</cp:lastModifiedBy>
  <cp:revision>8</cp:revision>
  <dcterms:created xsi:type="dcterms:W3CDTF">2026-09-04T11:24:00Z</dcterms:created>
  <dcterms:modified xsi:type="dcterms:W3CDTF">2026-09-07T13:47:30Z</dcterms:modified>
</cp:coreProperties>
</file>