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9"/>
        <w:keepNext w:val="0"/>
        <w:keepLines w:val="0"/>
        <w:pageBreakBefore w:val="0"/>
        <w:widowControl w:val="off"/>
        <w:jc w:val="center"/>
        <w:rPr>
          <w:lang w:val="tt-RU" w:eastAsia="ru-RU" w:bidi="ar-SA"/>
        </w:rPr>
      </w:pPr>
      <w:r>
        <w:rPr>
          <w:b/>
          <w:bCs/>
          <w:sz w:val="28"/>
          <w:szCs w:val="28"/>
          <w:lang w:val="tt-RU" w:eastAsia="ru-RU" w:bidi="ar-SA"/>
        </w:rPr>
        <w:t xml:space="preserve">«</w:t>
      </w:r>
      <w:r>
        <w:rPr>
          <w:rFonts w:eastAsia="Arial" w:cs="Times New Roman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  <w:t xml:space="preserve">2027 елга Татарстан Республикасында хезмәт базарының</w:t>
      </w:r>
      <w:r>
        <w:rPr>
          <w:lang w:val="tt-RU" w:eastAsia="ru-RU" w:bidi="ar-SA"/>
        </w:rPr>
      </w:r>
      <w:r>
        <w:rPr>
          <w:lang w:val="tt-RU" w:eastAsia="ru-RU" w:bidi="ar-SA"/>
        </w:rPr>
      </w:r>
    </w:p>
    <w:p>
      <w:pPr>
        <w:pStyle w:val="829"/>
        <w:keepNext w:val="0"/>
        <w:keepLines w:val="0"/>
        <w:pageBreakBefore w:val="0"/>
        <w:widowControl w:val="off"/>
        <w:tabs>
          <w:tab w:val="left" w:pos="3827" w:leader="none"/>
        </w:tabs>
        <w:jc w:val="center"/>
        <w:rPr>
          <w:lang w:val="tt-RU" w:eastAsia="ru-RU" w:bidi="ar-SA"/>
        </w:rPr>
      </w:pPr>
      <w:r>
        <w:rPr>
          <w:rFonts w:eastAsia="Arial" w:cs="Times New Roman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</w:r>
      <w:r>
        <w:rPr>
          <w:rFonts w:eastAsia="Arial" w:cs="Times New Roman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  <w:t xml:space="preserve">региональ </w:t>
      </w:r>
      <w:r>
        <w:rPr>
          <w:rFonts w:eastAsia="Arial" w:cs="Times New Roman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  <w:t xml:space="preserve">үзенчәлекләрен чагылдыра торган коэффициентны билгеләү турында</w:t>
      </w:r>
      <w:r>
        <w:rPr>
          <w:b/>
          <w:bCs/>
          <w:sz w:val="28"/>
          <w:szCs w:val="28"/>
          <w:lang w:val="tt-RU" w:eastAsia="ru-RU" w:bidi="ar-SA"/>
        </w:rPr>
        <w:t xml:space="preserve">» </w:t>
      </w:r>
      <w:r>
        <w:rPr>
          <w:rFonts w:cs="Times New Roman"/>
          <w:b/>
          <w:color w:val="auto"/>
          <w:sz w:val="28"/>
          <w:szCs w:val="28"/>
          <w:lang w:val="tt-RU" w:eastAsia="ru-RU" w:bidi="ar-SA"/>
        </w:rPr>
        <w:t xml:space="preserve">Татарстан Республикасы законын кабул итүгә бәйле рәвештә  үз көчләрен югалткан дип танылырга, туктатылып торырга, үзгәрешләр кертелергә яки кабул ителергә тиешле Татарстан Республикасы законнары һәм башка норматив хокукый актлары</w:t>
      </w:r>
      <w:r>
        <w:rPr>
          <w:lang w:val="tt-RU" w:eastAsia="ru-RU" w:bidi="ar-SA"/>
        </w:rPr>
      </w:r>
      <w:r>
        <w:rPr>
          <w:lang w:val="tt-RU" w:eastAsia="ru-RU" w:bidi="ar-SA"/>
        </w:rPr>
      </w:r>
    </w:p>
    <w:p>
      <w:pPr>
        <w:pStyle w:val="829"/>
        <w:keepNext w:val="0"/>
        <w:keepLines w:val="0"/>
        <w:pageBreakBefore w:val="0"/>
        <w:widowControl/>
        <w:spacing w:line="240" w:lineRule="auto"/>
        <w:jc w:val="center"/>
        <w:rPr>
          <w:lang w:val="tt-RU" w:eastAsia="ru-RU" w:bidi="ar-SA"/>
        </w:rPr>
      </w:pPr>
      <w:r>
        <w:rPr>
          <w:rFonts w:cs="Times New Roman"/>
          <w:b/>
          <w:color w:val="auto"/>
          <w:sz w:val="28"/>
          <w:szCs w:val="28"/>
          <w:lang w:val="tt-RU" w:eastAsia="ru-RU" w:bidi="ar-SA"/>
        </w:rPr>
        <w:t xml:space="preserve">ИСЕМЛЕГЕ</w:t>
      </w:r>
      <w:r>
        <w:rPr>
          <w:lang w:val="tt-RU" w:eastAsia="ru-RU" w:bidi="ar-SA"/>
        </w:rPr>
      </w:r>
      <w:r>
        <w:rPr>
          <w:lang w:val="tt-RU" w:eastAsia="ru-RU" w:bidi="ar-SA"/>
        </w:rPr>
      </w:r>
    </w:p>
    <w:p>
      <w:pPr>
        <w:pStyle w:val="829"/>
        <w:widowControl w:val="off"/>
        <w:numPr>
          <w:numId w:val="0"/>
          <w:ilvl w:val="0"/>
        </w:numPr>
        <w:ind w:left="0" w:firstLine="0"/>
        <w:jc w:val="both"/>
        <w:outlineLvl w:val="0"/>
        <w:rPr>
          <w:bCs/>
          <w:sz w:val="28"/>
          <w:szCs w:val="28"/>
          <w:lang w:val="tt-RU" w:eastAsia="ru-RU" w:bidi="ar-SA"/>
        </w:rPr>
      </w:pPr>
      <w:r>
        <w:rPr>
          <w:bCs/>
          <w:sz w:val="28"/>
          <w:szCs w:val="28"/>
          <w:lang w:val="tt-RU" w:eastAsia="ru-RU" w:bidi="ar-SA"/>
        </w:rPr>
      </w:r>
      <w:r>
        <w:rPr>
          <w:bCs/>
          <w:sz w:val="28"/>
          <w:szCs w:val="28"/>
          <w:lang w:val="tt-RU" w:eastAsia="ru-RU" w:bidi="ar-SA"/>
        </w:rPr>
      </w:r>
      <w:r>
        <w:rPr>
          <w:bCs/>
          <w:sz w:val="28"/>
          <w:szCs w:val="28"/>
          <w:lang w:val="tt-RU" w:eastAsia="ru-RU" w:bidi="ar-SA"/>
        </w:rPr>
      </w:r>
    </w:p>
    <w:p>
      <w:pPr>
        <w:pStyle w:val="829"/>
        <w:keepNext w:val="0"/>
        <w:keepLines w:val="0"/>
        <w:pageBreakBefore w:val="0"/>
        <w:widowControl w:val="off"/>
        <w:numPr>
          <w:numId w:val="0"/>
          <w:ilvl w:val="0"/>
        </w:numPr>
        <w:ind w:left="0" w:firstLine="709"/>
        <w:jc w:val="both"/>
        <w:outlineLvl w:val="0"/>
        <w:rPr>
          <w:lang w:val="tt-RU" w:eastAsia="ru-RU" w:bidi="ar-SA"/>
        </w:rPr>
      </w:pPr>
      <w:r>
        <w:rPr>
          <w:b w:val="0"/>
          <w:bCs w:val="0"/>
          <w:sz w:val="28"/>
          <w:szCs w:val="28"/>
          <w:lang w:val="tt-RU" w:eastAsia="ru-RU" w:bidi="ar-SA"/>
        </w:rPr>
        <w:t xml:space="preserve">«</w:t>
      </w:r>
      <w:r>
        <w:rPr>
          <w:rFonts w:eastAsia="Arial" w:cs="Times New Roman"/>
          <w:b w:val="0"/>
          <w:bCs w:val="0"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  <w:t xml:space="preserve">2027 елга Татарстан Республикасында хезмәт базарының </w:t>
      </w:r>
      <w:r>
        <w:rPr>
          <w:rFonts w:eastAsia="Arial" w:cs="Times New Roman"/>
          <w:b w:val="0"/>
          <w:bCs w:val="0"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  <w:t xml:space="preserve">региональ </w:t>
      </w:r>
      <w:r>
        <w:rPr>
          <w:rFonts w:eastAsia="Arial" w:cs="Times New Roman"/>
          <w:b w:val="0"/>
          <w:bCs w:val="0"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  <w:t xml:space="preserve">үзенчәлекләрен чагылдыра торган коэффициентны билгеләү турында</w:t>
      </w:r>
      <w:r>
        <w:rPr>
          <w:b w:val="0"/>
          <w:bCs w:val="0"/>
          <w:sz w:val="28"/>
          <w:szCs w:val="28"/>
          <w:lang w:val="tt-RU" w:eastAsia="ru-RU" w:bidi="ar-SA"/>
        </w:rPr>
        <w:t xml:space="preserve">» </w:t>
      </w:r>
      <w:r>
        <w:rPr>
          <w:rFonts w:cs="Times New Roman"/>
          <w:b w:val="0"/>
          <w:bCs/>
          <w:color w:val="auto"/>
          <w:sz w:val="28"/>
          <w:szCs w:val="28"/>
          <w:lang w:val="tt-RU" w:eastAsia="ru-RU" w:bidi="ar-SA"/>
        </w:rPr>
        <w:t xml:space="preserve">Татарстан Республикасы </w:t>
      </w:r>
      <w:r>
        <w:rPr>
          <w:rFonts w:eastAsia="SimSun" w:cs="Times New Roman"/>
          <w:b w:val="0"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eastAsia="ru-RU" w:bidi="ar-SA"/>
        </w:rPr>
        <w:t xml:space="preserve">законын кабул итү </w:t>
      </w:r>
      <w:r>
        <w:rPr>
          <w:rFonts w:cs="Times New Roman"/>
          <w:color w:val="auto"/>
          <w:sz w:val="28"/>
          <w:szCs w:val="28"/>
          <w:lang w:val="tt-RU" w:eastAsia="ru-RU" w:bidi="ar-SA"/>
        </w:rPr>
        <w:t xml:space="preserve">Татарстан Ре</w:t>
      </w:r>
      <w:r>
        <w:rPr>
          <w:rFonts w:cs="Times New Roman"/>
          <w:b w:val="0"/>
          <w:bCs w:val="0"/>
          <w:color w:val="auto"/>
          <w:sz w:val="28"/>
          <w:szCs w:val="28"/>
          <w:lang w:val="tt-RU" w:eastAsia="ru-RU" w:bidi="ar-SA"/>
        </w:rPr>
        <w:t xml:space="preserve">спубликасы законнарын һәм башка норматив хокукый актларын үз көчләрен югалткан дип тануны, туктатып торуны, үзгәрешләр кертүне яки кабул итүне таләп итми.</w:t>
      </w:r>
      <w:r>
        <w:rPr>
          <w:lang w:val="tt-RU" w:eastAsia="ru-RU" w:bidi="ar-SA"/>
        </w:rPr>
      </w:r>
      <w:r>
        <w:rPr>
          <w:lang w:val="tt-RU" w:eastAsia="ru-RU" w:bidi="ar-SA"/>
        </w:rPr>
      </w:r>
    </w:p>
    <w:p>
      <w:pPr>
        <w:widowControl w:val="off"/>
        <w:numPr>
          <w:numId w:val="0"/>
          <w:ilvl w:val="0"/>
        </w:numPr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9"/>
        <w:widowControl w:val="off"/>
        <w:numPr>
          <w:numId w:val="0"/>
          <w:ilvl w:val="0"/>
        </w:numPr>
        <w:ind w:left="0"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506000000020000"/>
  </w:font>
  <w:font w:name="Tahoma">
    <w:panose1 w:val="020B0604030504040204"/>
  </w:font>
  <w:font w:name="Mangal">
    <w:panose1 w:val="02040503050406030204"/>
  </w:font>
  <w:font w:name="Arial">
    <w:panose1 w:val="020B0604020202020204"/>
  </w:font>
  <w:font w:name="PT Astra Serif">
    <w:panose1 w:val="020A0603040505020204"/>
  </w:font>
  <w:font w:name="Microsoft YaHei">
    <w:panose1 w:val="020B0503020203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29"/>
    <w:next w:val="829"/>
    <w:link w:val="656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0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29"/>
    <w:next w:val="829"/>
    <w:link w:val="658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0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29"/>
    <w:next w:val="829"/>
    <w:link w:val="660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0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29"/>
    <w:next w:val="829"/>
    <w:link w:val="662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0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29"/>
    <w:next w:val="829"/>
    <w:link w:val="664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0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29"/>
    <w:next w:val="829"/>
    <w:link w:val="666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0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29"/>
    <w:next w:val="829"/>
    <w:link w:val="668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0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29"/>
    <w:next w:val="829"/>
    <w:link w:val="670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0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29"/>
    <w:next w:val="829"/>
    <w:link w:val="672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0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29"/>
    <w:next w:val="829"/>
    <w:link w:val="67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5">
    <w:name w:val="Title Char"/>
    <w:basedOn w:val="830"/>
    <w:link w:val="674"/>
    <w:uiPriority w:val="10"/>
    <w:rPr>
      <w:sz w:val="48"/>
      <w:szCs w:val="48"/>
    </w:rPr>
  </w:style>
  <w:style w:type="paragraph" w:styleId="676">
    <w:name w:val="Subtitle"/>
    <w:basedOn w:val="829"/>
    <w:next w:val="829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0"/>
    <w:link w:val="676"/>
    <w:uiPriority w:val="11"/>
    <w:rPr>
      <w:sz w:val="24"/>
      <w:szCs w:val="24"/>
    </w:rPr>
  </w:style>
  <w:style w:type="paragraph" w:styleId="678">
    <w:name w:val="Quote"/>
    <w:basedOn w:val="829"/>
    <w:next w:val="829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29"/>
    <w:next w:val="829"/>
    <w:link w:val="68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29"/>
    <w:link w:val="68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3">
    <w:name w:val="Header Char"/>
    <w:basedOn w:val="830"/>
    <w:link w:val="682"/>
    <w:uiPriority w:val="99"/>
  </w:style>
  <w:style w:type="paragraph" w:styleId="684">
    <w:name w:val="Footer"/>
    <w:basedOn w:val="829"/>
    <w:link w:val="68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5">
    <w:name w:val="Footer Char"/>
    <w:basedOn w:val="830"/>
    <w:link w:val="684"/>
    <w:uiPriority w:val="99"/>
  </w:style>
  <w:style w:type="character" w:styleId="686">
    <w:name w:val="Caption Char"/>
    <w:basedOn w:val="830"/>
    <w:link w:val="838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9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3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1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2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23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24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25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26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27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28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4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6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6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1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spacing w:after="57"/>
      <w:ind w:left="0" w:right="0" w:firstLine="0"/>
    </w:pPr>
  </w:style>
  <w:style w:type="paragraph" w:styleId="819">
    <w:name w:val="toc 2"/>
    <w:basedOn w:val="829"/>
    <w:next w:val="829"/>
    <w:uiPriority w:val="39"/>
    <w:unhideWhenUsed/>
    <w:pPr>
      <w:spacing w:after="57"/>
      <w:ind w:left="283" w:right="0" w:firstLine="0"/>
    </w:pPr>
  </w:style>
  <w:style w:type="paragraph" w:styleId="820">
    <w:name w:val="toc 3"/>
    <w:basedOn w:val="829"/>
    <w:next w:val="829"/>
    <w:uiPriority w:val="39"/>
    <w:unhideWhenUsed/>
    <w:pPr>
      <w:spacing w:after="57"/>
      <w:ind w:left="567" w:right="0" w:firstLine="0"/>
    </w:pPr>
  </w:style>
  <w:style w:type="paragraph" w:styleId="821">
    <w:name w:val="toc 4"/>
    <w:basedOn w:val="829"/>
    <w:next w:val="829"/>
    <w:uiPriority w:val="39"/>
    <w:unhideWhenUsed/>
    <w:pPr>
      <w:spacing w:after="57"/>
      <w:ind w:left="850" w:right="0" w:firstLine="0"/>
    </w:pPr>
  </w:style>
  <w:style w:type="paragraph" w:styleId="822">
    <w:name w:val="toc 5"/>
    <w:basedOn w:val="829"/>
    <w:next w:val="829"/>
    <w:uiPriority w:val="39"/>
    <w:unhideWhenUsed/>
    <w:pPr>
      <w:spacing w:after="57"/>
      <w:ind w:left="1134" w:right="0" w:firstLine="0"/>
    </w:pPr>
  </w:style>
  <w:style w:type="paragraph" w:styleId="823">
    <w:name w:val="toc 6"/>
    <w:basedOn w:val="829"/>
    <w:next w:val="829"/>
    <w:uiPriority w:val="39"/>
    <w:unhideWhenUsed/>
    <w:pPr>
      <w:spacing w:after="57"/>
      <w:ind w:left="1417" w:right="0" w:firstLine="0"/>
    </w:pPr>
  </w:style>
  <w:style w:type="paragraph" w:styleId="824">
    <w:name w:val="toc 7"/>
    <w:basedOn w:val="829"/>
    <w:next w:val="829"/>
    <w:uiPriority w:val="39"/>
    <w:unhideWhenUsed/>
    <w:pPr>
      <w:spacing w:after="57"/>
      <w:ind w:left="1701" w:right="0" w:firstLine="0"/>
    </w:pPr>
  </w:style>
  <w:style w:type="paragraph" w:styleId="825">
    <w:name w:val="toc 8"/>
    <w:basedOn w:val="829"/>
    <w:next w:val="829"/>
    <w:uiPriority w:val="39"/>
    <w:unhideWhenUsed/>
    <w:pPr>
      <w:spacing w:after="57"/>
      <w:ind w:left="1984" w:right="0" w:firstLine="0"/>
    </w:pPr>
  </w:style>
  <w:style w:type="paragraph" w:styleId="826">
    <w:name w:val="toc 9"/>
    <w:basedOn w:val="829"/>
    <w:next w:val="829"/>
    <w:uiPriority w:val="39"/>
    <w:unhideWhenUsed/>
    <w:pPr>
      <w:spacing w:after="57"/>
      <w:ind w:left="2268" w:right="0" w:firstLine="0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uiPriority w:val="0"/>
    <w:qFormat/>
    <w:pPr>
      <w:widowControl/>
      <w:spacing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character" w:styleId="830" w:default="1">
    <w:name w:val="Default Paragraph Font"/>
    <w:uiPriority w:val="1"/>
    <w:semiHidden/>
    <w:unhideWhenUsed/>
    <w:qFormat/>
  </w:style>
  <w:style w:type="character" w:styleId="831">
    <w:name w:val="Hyperlink"/>
    <w:uiPriority w:val="0"/>
    <w:rPr>
      <w:color w:val="0000ff"/>
      <w:u w:val="single"/>
    </w:rPr>
  </w:style>
  <w:style w:type="character" w:styleId="832">
    <w:name w:val="Strong"/>
    <w:basedOn w:val="830"/>
    <w:uiPriority w:val="22"/>
    <w:qFormat/>
    <w:rPr>
      <w:rFonts w:cs="Times New Roman"/>
      <w:b/>
      <w:bCs/>
    </w:rPr>
  </w:style>
  <w:style w:type="paragraph" w:styleId="833">
    <w:name w:val="Заголовок"/>
    <w:basedOn w:val="829"/>
    <w:next w:val="834"/>
    <w:qFormat/>
    <w:pPr>
      <w:keepNext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834">
    <w:name w:val="Body Text"/>
    <w:basedOn w:val="829"/>
    <w:pPr>
      <w:spacing w:before="0" w:after="140" w:line="276" w:lineRule="auto"/>
    </w:pPr>
  </w:style>
  <w:style w:type="paragraph" w:styleId="835">
    <w:name w:val="List"/>
    <w:basedOn w:val="834"/>
    <w:rPr>
      <w:rFonts w:ascii="PT Astra Serif" w:hAnsi="PT Astra Serif" w:cs="Mangal"/>
    </w:rPr>
  </w:style>
  <w:style w:type="paragraph" w:styleId="836">
    <w:name w:val="Caption"/>
    <w:basedOn w:val="829"/>
    <w:link w:val="686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837">
    <w:name w:val="Указатель"/>
    <w:basedOn w:val="829"/>
    <w:qFormat/>
    <w:pPr>
      <w:suppressLineNumbers/>
    </w:pPr>
    <w:rPr>
      <w:rFonts w:ascii="PT Astra Serif" w:hAnsi="PT Astra Serif" w:cs="Mangal"/>
    </w:rPr>
  </w:style>
  <w:style w:type="paragraph" w:styleId="838">
    <w:name w:val="Caption"/>
    <w:basedOn w:val="829"/>
    <w:link w:val="686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839">
    <w:name w:val="Balloon Text"/>
    <w:basedOn w:val="829"/>
    <w:uiPriority w:val="0"/>
    <w:semiHidden/>
    <w:qFormat/>
    <w:rPr>
      <w:rFonts w:ascii="Tahoma" w:hAnsi="Tahoma" w:cs="Tahoma"/>
      <w:sz w:val="16"/>
      <w:szCs w:val="16"/>
    </w:rPr>
  </w:style>
  <w:style w:type="paragraph" w:styleId="840">
    <w:name w:val="Normal (Web)"/>
    <w:basedOn w:val="829"/>
    <w:uiPriority w:val="0"/>
    <w:qFormat/>
    <w:pPr>
      <w:spacing w:beforeAutospacing="1" w:afterAutospacing="1"/>
    </w:pPr>
  </w:style>
  <w:style w:type="paragraph" w:styleId="841">
    <w:name w:val="List Paragraph"/>
    <w:basedOn w:val="829"/>
    <w:uiPriority w:val="34"/>
    <w:qFormat/>
    <w:pPr>
      <w:spacing w:before="0" w:after="0"/>
      <w:ind w:left="720" w:firstLine="0"/>
      <w:contextualSpacing/>
    </w:pPr>
  </w:style>
  <w:style w:type="paragraph" w:styleId="842" w:customStyle="1">
    <w:name w:val="ConsPlusTitle"/>
    <w:uiPriority w:val="0"/>
    <w:qFormat/>
    <w:pPr>
      <w:widowControl/>
      <w:spacing w:before="0" w:after="0"/>
      <w:jc w:val="left"/>
    </w:pPr>
    <w:rPr>
      <w:rFonts w:ascii="Arial" w:hAnsi="Arial" w:eastAsia="Times New Roman" w:cs="Arial"/>
      <w:b/>
      <w:bCs/>
      <w:color w:val="auto"/>
      <w:sz w:val="20"/>
      <w:szCs w:val="20"/>
      <w:lang w:val="ru-RU" w:eastAsia="ru-RU" w:bidi="ar-SA"/>
    </w:rPr>
  </w:style>
  <w:style w:type="table" w:styleId="843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44">
    <w:name w:val="Table Grid"/>
    <w:basedOn w:val="843"/>
    <w:uiPriority w:val="0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84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DNA Project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ТАТАРСТАН РЕСПУБЛИКАСЫ</dc:title>
  <dc:subject/>
  <dc:creator>lib</dc:creator>
  <dc:description/>
  <dc:language>ru-RU</dc:language>
  <cp:lastModifiedBy>social1</cp:lastModifiedBy>
  <cp:revision>10</cp:revision>
  <dcterms:created xsi:type="dcterms:W3CDTF">2024-07-27T08:11:00Z</dcterms:created>
  <dcterms:modified xsi:type="dcterms:W3CDTF">2026-09-03T14:08:51Z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D9CB322079D84CA4A893AC6941D005F2_13</vt:lpwstr>
  </property>
  <property fmtid="{D5CDD505-2E9C-101B-9397-08002B2CF9AE}" pid="3" name="KSOProductBuildVer">
    <vt:lpwstr>1049-12.1.0.28032</vt:lpwstr>
  </property>
  <property fmtid="{D5CDD505-2E9C-101B-9397-08002B2CF9AE}" pid="4" name="KSOTemplateDocerSaveRecord">
    <vt:lpwstr>eyJoZGlkIjoiN2M0NmMyOTMwNTBhNTYxMjAzMjcyMTM0YzNjYjBlYjEiLCJ1c2VySWQiOiI4NDIyOTQzNjYxNzkifQ==</vt:lpwstr>
  </property>
</Properties>
</file>