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99" w:type="dxa"/>
        <w:tblLayout w:type="fixed"/>
        <w:tblLook w:val="04A0" w:firstRow="1" w:lastRow="0" w:firstColumn="1" w:lastColumn="0" w:noHBand="0" w:noVBand="1"/>
      </w:tblPr>
      <w:tblGrid>
        <w:gridCol w:w="7338"/>
        <w:gridCol w:w="4961"/>
      </w:tblGrid>
      <w:tr w:rsidR="000E2006">
        <w:tc>
          <w:tcPr>
            <w:tcW w:w="7338" w:type="dxa"/>
          </w:tcPr>
          <w:p w:rsidR="000E2006" w:rsidRDefault="000E2006">
            <w:pPr>
              <w:pStyle w:val="ae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0E2006" w:rsidRDefault="000E2006">
            <w:pPr>
              <w:rPr>
                <w:sz w:val="30"/>
                <w:szCs w:val="30"/>
              </w:rPr>
            </w:pPr>
          </w:p>
        </w:tc>
      </w:tr>
    </w:tbl>
    <w:p w:rsidR="000E2006" w:rsidRDefault="000E2006">
      <w:pPr>
        <w:ind w:hanging="181"/>
        <w:jc w:val="right"/>
        <w:rPr>
          <w:sz w:val="24"/>
        </w:rPr>
      </w:pPr>
    </w:p>
    <w:p w:rsidR="000E2006" w:rsidRDefault="000E2006">
      <w:pPr>
        <w:ind w:hanging="181"/>
        <w:jc w:val="right"/>
        <w:rPr>
          <w:sz w:val="24"/>
        </w:rPr>
      </w:pPr>
    </w:p>
    <w:p w:rsidR="000E2006" w:rsidRDefault="000E2006">
      <w:pPr>
        <w:widowControl w:val="0"/>
        <w:jc w:val="center"/>
        <w:rPr>
          <w:szCs w:val="28"/>
        </w:rPr>
      </w:pPr>
    </w:p>
    <w:p w:rsidR="000E2006" w:rsidRDefault="000E2006">
      <w:pPr>
        <w:widowControl w:val="0"/>
        <w:jc w:val="center"/>
        <w:rPr>
          <w:szCs w:val="28"/>
        </w:rPr>
      </w:pPr>
    </w:p>
    <w:p w:rsidR="000E2006" w:rsidRDefault="000E2006">
      <w:pPr>
        <w:widowControl w:val="0"/>
        <w:jc w:val="center"/>
        <w:rPr>
          <w:szCs w:val="28"/>
        </w:rPr>
      </w:pPr>
    </w:p>
    <w:p w:rsidR="000E2006" w:rsidRDefault="000E2006">
      <w:pPr>
        <w:widowControl w:val="0"/>
        <w:jc w:val="center"/>
        <w:rPr>
          <w:szCs w:val="28"/>
        </w:rPr>
      </w:pPr>
    </w:p>
    <w:p w:rsidR="000E2006" w:rsidRDefault="000E2006">
      <w:pPr>
        <w:widowControl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0E2006" w:rsidRDefault="008E652C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О внесении изменений в Закон Республики Татарстан </w:t>
      </w:r>
    </w:p>
    <w:p w:rsidR="000E2006" w:rsidRDefault="008E652C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«О Конституционном совете Республики Татарстан»</w:t>
      </w:r>
    </w:p>
    <w:p w:rsidR="000E2006" w:rsidRDefault="000E200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E2006" w:rsidRDefault="000E200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E2006" w:rsidRDefault="008E652C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 </w:t>
      </w:r>
    </w:p>
    <w:p w:rsidR="000E2006" w:rsidRDefault="008E652C">
      <w:pPr>
        <w:keepNext/>
        <w:jc w:val="right"/>
        <w:rPr>
          <w:szCs w:val="28"/>
        </w:rPr>
      </w:pPr>
      <w:r>
        <w:rPr>
          <w:szCs w:val="28"/>
        </w:rPr>
        <w:t xml:space="preserve">Государственным Советом </w:t>
      </w:r>
    </w:p>
    <w:p w:rsidR="000E2006" w:rsidRDefault="008E652C">
      <w:pPr>
        <w:keepNext/>
        <w:jc w:val="right"/>
        <w:rPr>
          <w:szCs w:val="28"/>
        </w:rPr>
      </w:pPr>
      <w:r>
        <w:rPr>
          <w:szCs w:val="28"/>
        </w:rPr>
        <w:t>Республики Татарстан</w:t>
      </w:r>
    </w:p>
    <w:p w:rsidR="000E2006" w:rsidRDefault="008E65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27 ноября 2025 года</w:t>
      </w:r>
    </w:p>
    <w:p w:rsidR="000E2006" w:rsidRDefault="000E2006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</w:p>
    <w:p w:rsidR="000E2006" w:rsidRDefault="000E2006">
      <w:pPr>
        <w:tabs>
          <w:tab w:val="right" w:pos="10205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Cs w:val="28"/>
          <w:lang w:eastAsia="en-US"/>
        </w:rPr>
      </w:pPr>
    </w:p>
    <w:p w:rsidR="000E2006" w:rsidRDefault="008E652C">
      <w:pPr>
        <w:tabs>
          <w:tab w:val="right" w:pos="10205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Статья 1</w:t>
      </w:r>
      <w:r>
        <w:rPr>
          <w:rFonts w:eastAsiaTheme="minorHAnsi"/>
          <w:b/>
          <w:bCs/>
          <w:szCs w:val="28"/>
          <w:lang w:eastAsia="en-US"/>
        </w:rPr>
        <w:tab/>
      </w:r>
    </w:p>
    <w:p w:rsidR="000E2006" w:rsidRDefault="000E2006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E2006" w:rsidRDefault="008E652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Внести в Закон Республики Татарстан от 13 июня 2023 года № 44-ЗРТ </w:t>
      </w:r>
      <w:r>
        <w:rPr>
          <w:rFonts w:eastAsiaTheme="minorHAnsi"/>
          <w:szCs w:val="28"/>
          <w:lang w:eastAsia="en-US"/>
        </w:rPr>
        <w:br/>
        <w:t xml:space="preserve">«О Конституционном совете Республики Татарстан» (Собрание законодательства Республики Татарстан, 2023, № 48 (часть </w:t>
      </w:r>
      <w:r>
        <w:rPr>
          <w:rFonts w:eastAsiaTheme="minorHAnsi"/>
          <w:szCs w:val="28"/>
          <w:lang w:val="en-US" w:eastAsia="en-US"/>
        </w:rPr>
        <w:t>I</w:t>
      </w:r>
      <w:r>
        <w:rPr>
          <w:rFonts w:eastAsiaTheme="minorHAnsi"/>
          <w:szCs w:val="28"/>
          <w:lang w:eastAsia="en-US"/>
        </w:rPr>
        <w:t>) следующие изменения:</w:t>
      </w:r>
    </w:p>
    <w:p w:rsidR="000E2006" w:rsidRDefault="000E2006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0E2006" w:rsidRDefault="008E652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1) статью 5 дополнить частью 5</w:t>
      </w:r>
      <w:r>
        <w:rPr>
          <w:rFonts w:eastAsiaTheme="minorHAnsi"/>
          <w:szCs w:val="28"/>
          <w:vertAlign w:val="superscript"/>
          <w:lang w:eastAsia="en-US"/>
        </w:rPr>
        <w:t>1</w:t>
      </w:r>
      <w:r>
        <w:rPr>
          <w:rFonts w:eastAsiaTheme="minorHAnsi"/>
          <w:szCs w:val="28"/>
          <w:lang w:eastAsia="en-US"/>
        </w:rPr>
        <w:t xml:space="preserve"> следующего содерж</w:t>
      </w:r>
      <w:r>
        <w:rPr>
          <w:rFonts w:eastAsiaTheme="minorHAnsi"/>
          <w:szCs w:val="28"/>
          <w:lang w:eastAsia="en-US"/>
        </w:rPr>
        <w:t>ания:</w:t>
      </w:r>
    </w:p>
    <w:p w:rsidR="000E2006" w:rsidRDefault="008E652C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«5</w:t>
      </w:r>
      <w:r>
        <w:rPr>
          <w:szCs w:val="28"/>
          <w:vertAlign w:val="superscript"/>
        </w:rPr>
        <w:t>1</w:t>
      </w:r>
      <w:r>
        <w:rPr>
          <w:szCs w:val="28"/>
        </w:rPr>
        <w:t>. Конституционный совет осуществляет мониторинг нормативных правовых актов Республики Татарстан, нормативных правовых актов органов местного самоуправления муниципальных образований Республики Татарстан на предмет их соответствия Конституции Респу</w:t>
      </w:r>
      <w:r>
        <w:rPr>
          <w:szCs w:val="28"/>
        </w:rPr>
        <w:t xml:space="preserve">блики Татарстан, по результатам которого направляет информацию в государственные органы Республики Татарстан, органы местного самоуправления муниципальных образований Республики Татарстан.»; </w:t>
      </w:r>
    </w:p>
    <w:p w:rsidR="000E2006" w:rsidRDefault="000E2006">
      <w:pPr>
        <w:tabs>
          <w:tab w:val="left" w:pos="0"/>
        </w:tabs>
        <w:ind w:firstLine="567"/>
        <w:jc w:val="both"/>
        <w:rPr>
          <w:szCs w:val="28"/>
        </w:rPr>
      </w:pPr>
    </w:p>
    <w:p w:rsidR="000E2006" w:rsidRDefault="008E652C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2) в статье 11:</w:t>
      </w:r>
    </w:p>
    <w:p w:rsidR="000E2006" w:rsidRDefault="008E652C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а) часть 3 дополнить предложением следующего со</w:t>
      </w:r>
      <w:r>
        <w:rPr>
          <w:szCs w:val="28"/>
        </w:rPr>
        <w:t>держания: «В заключении Конституционного совета о соответствии или несоответствии нормативного правового акта Республики Татарстан, нормативного правового акта органа местного самоуправления муниципального образования Республики Татарстан либо отдельных их</w:t>
      </w:r>
      <w:r>
        <w:rPr>
          <w:szCs w:val="28"/>
        </w:rPr>
        <w:t xml:space="preserve"> положений Конституции Республики Татарстан может содержаться предложение о необходимости устранения пробела в правовом регулировании, а также рекомендация (предложение) по совершенствованию правового регулирования или правоприменительной практики.»;</w:t>
      </w:r>
    </w:p>
    <w:p w:rsidR="000E2006" w:rsidRDefault="008E652C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б) ча</w:t>
      </w:r>
      <w:r>
        <w:rPr>
          <w:szCs w:val="28"/>
        </w:rPr>
        <w:t>сть 7 изложить в следующей редакции:</w:t>
      </w:r>
    </w:p>
    <w:p w:rsidR="000E2006" w:rsidRDefault="008E65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szCs w:val="28"/>
        </w:rPr>
        <w:t>«7. Заключение Конституционного совета, которым нормативный правовой акт Республики Татарстан, нормативный правовой акт органа местного самоуправления муниципального образования Республики Татарстан или отдельные их пол</w:t>
      </w:r>
      <w:r>
        <w:rPr>
          <w:szCs w:val="28"/>
        </w:rPr>
        <w:t xml:space="preserve">ожения </w:t>
      </w:r>
      <w:r>
        <w:rPr>
          <w:szCs w:val="28"/>
        </w:rPr>
        <w:lastRenderedPageBreak/>
        <w:t>признаны не соответствующими Конституции Республики Татарстан, либо из которого вытекает необходимость устранения пробела в правовом регулировании, либо в котором даны рекомендации (предложения) по совершенствованию правового регулирования или право</w:t>
      </w:r>
      <w:r>
        <w:rPr>
          <w:szCs w:val="28"/>
        </w:rPr>
        <w:t>применительной практики, подлежит обязательному рассмотрению принявшим (издавшим) этот нормативный правовой акт органом (должностным лицом), который в течение трех месяцев со дня получения заключения Конституционного совета информирует Конституционный сове</w:t>
      </w:r>
      <w:r>
        <w:rPr>
          <w:szCs w:val="28"/>
        </w:rPr>
        <w:t>т</w:t>
      </w:r>
      <w:r>
        <w:rPr>
          <w:b/>
          <w:szCs w:val="28"/>
        </w:rPr>
        <w:t xml:space="preserve"> </w:t>
      </w:r>
      <w:r>
        <w:rPr>
          <w:szCs w:val="28"/>
        </w:rPr>
        <w:t>и Главу (Раиса) Республики Татарстан о результатах его рассмотрения. Иные г</w:t>
      </w:r>
      <w:r>
        <w:rPr>
          <w:bCs/>
          <w:szCs w:val="28"/>
        </w:rPr>
        <w:t xml:space="preserve">осударственные органы Республики Татарстан, органы местного самоуправления муниципальных образований Республики Татарстан, должностные лица, в отношении которых в заключении </w:t>
      </w:r>
      <w:r>
        <w:rPr>
          <w:bCs/>
          <w:szCs w:val="28"/>
        </w:rPr>
        <w:t>Конституционного совета содержатся рекомендации (предложения) по совершенствованию правового регулирования или правоприменительной практики, в течение трех месяцев со дня получения заключения Конституционного совета также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информируют Конституционный совет </w:t>
      </w:r>
      <w:r>
        <w:rPr>
          <w:szCs w:val="28"/>
        </w:rPr>
        <w:t>и Главу (Раиса) Республики Татарстан о возможности р</w:t>
      </w:r>
      <w:r>
        <w:rPr>
          <w:rFonts w:eastAsiaTheme="minorHAnsi"/>
          <w:bCs/>
          <w:szCs w:val="28"/>
          <w:lang w:eastAsia="en-US"/>
        </w:rPr>
        <w:t xml:space="preserve">еализации указанных рекомендаций (предложений).»; </w:t>
      </w:r>
    </w:p>
    <w:p w:rsidR="000E2006" w:rsidRDefault="000E200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E2006" w:rsidRDefault="008E65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3) статью 12 изложить в следующей редакции:</w:t>
      </w:r>
    </w:p>
    <w:p w:rsidR="000E2006" w:rsidRDefault="008E65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«Статья 12.</w:t>
      </w:r>
      <w:r>
        <w:rPr>
          <w:rFonts w:eastAsiaTheme="minorHAnsi"/>
          <w:b/>
          <w:bCs/>
          <w:szCs w:val="28"/>
          <w:lang w:eastAsia="en-US"/>
        </w:rPr>
        <w:t xml:space="preserve"> Доклад о деятельности Конституционного совета</w:t>
      </w:r>
    </w:p>
    <w:p w:rsidR="000E2006" w:rsidRDefault="000E200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Cs w:val="28"/>
          <w:lang w:eastAsia="en-US"/>
        </w:rPr>
      </w:pPr>
    </w:p>
    <w:p w:rsidR="000E2006" w:rsidRDefault="008E65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Конституционный совет один раз в год направляет </w:t>
      </w:r>
      <w:r>
        <w:rPr>
          <w:rFonts w:eastAsiaTheme="minorHAnsi"/>
          <w:bCs/>
          <w:szCs w:val="28"/>
          <w:lang w:eastAsia="en-US"/>
        </w:rPr>
        <w:t>доклад о своей деятельности Главе (Раису) Республики Татарстан и в Государственный Совет Республики Татарстан. Доклад представляется на заседании Государственного Совета Республики Татарстан Председателем Конституционного совета.».</w:t>
      </w:r>
    </w:p>
    <w:p w:rsidR="000E2006" w:rsidRDefault="000E200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</w:p>
    <w:p w:rsidR="000E2006" w:rsidRDefault="008E652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Статья 2</w:t>
      </w:r>
    </w:p>
    <w:p w:rsidR="000E2006" w:rsidRDefault="000E200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Cs w:val="28"/>
          <w:lang w:eastAsia="en-US"/>
        </w:rPr>
      </w:pPr>
    </w:p>
    <w:p w:rsidR="000E2006" w:rsidRDefault="008E652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Настоящий Зак</w:t>
      </w:r>
      <w:r>
        <w:rPr>
          <w:rFonts w:eastAsiaTheme="minorHAnsi"/>
          <w:bCs/>
          <w:szCs w:val="28"/>
          <w:lang w:eastAsia="en-US"/>
        </w:rPr>
        <w:t>он вступает в силу со дня его официального опубликования.</w:t>
      </w:r>
    </w:p>
    <w:p w:rsidR="000E2006" w:rsidRDefault="000E200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</w:p>
    <w:p w:rsidR="000E2006" w:rsidRDefault="000E200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</w:p>
    <w:p w:rsidR="000E2006" w:rsidRDefault="008E652C">
      <w:pPr>
        <w:tabs>
          <w:tab w:val="left" w:pos="0"/>
        </w:tabs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Глава (Раис) </w:t>
      </w:r>
    </w:p>
    <w:p w:rsidR="000E2006" w:rsidRDefault="008E652C">
      <w:pPr>
        <w:tabs>
          <w:tab w:val="left" w:pos="0"/>
          <w:tab w:val="left" w:pos="7320"/>
        </w:tabs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Республики Татарстан </w:t>
      </w:r>
      <w:r>
        <w:rPr>
          <w:rFonts w:eastAsiaTheme="minorHAnsi"/>
          <w:bCs/>
          <w:szCs w:val="28"/>
          <w:lang w:eastAsia="en-US"/>
        </w:rPr>
        <w:tab/>
        <w:t xml:space="preserve">          Р.Н. </w:t>
      </w:r>
      <w:proofErr w:type="spellStart"/>
      <w:r>
        <w:rPr>
          <w:rFonts w:eastAsiaTheme="minorHAnsi"/>
          <w:bCs/>
          <w:szCs w:val="28"/>
          <w:lang w:eastAsia="en-US"/>
        </w:rPr>
        <w:t>Минниханов</w:t>
      </w:r>
      <w:proofErr w:type="spellEnd"/>
    </w:p>
    <w:p w:rsidR="00AC0A52" w:rsidRDefault="00AC0A52">
      <w:pPr>
        <w:tabs>
          <w:tab w:val="left" w:pos="0"/>
          <w:tab w:val="left" w:pos="7320"/>
        </w:tabs>
        <w:jc w:val="both"/>
        <w:rPr>
          <w:rFonts w:eastAsiaTheme="minorHAnsi"/>
          <w:bCs/>
          <w:szCs w:val="28"/>
          <w:lang w:eastAsia="en-US"/>
        </w:rPr>
      </w:pPr>
    </w:p>
    <w:p w:rsidR="00AC0A52" w:rsidRDefault="00AC0A52">
      <w:pPr>
        <w:tabs>
          <w:tab w:val="left" w:pos="0"/>
          <w:tab w:val="left" w:pos="7320"/>
        </w:tabs>
        <w:jc w:val="both"/>
        <w:rPr>
          <w:rFonts w:eastAsiaTheme="minorHAnsi"/>
          <w:bCs/>
          <w:szCs w:val="28"/>
          <w:lang w:eastAsia="en-US"/>
        </w:rPr>
      </w:pPr>
    </w:p>
    <w:p w:rsidR="00AC0A52" w:rsidRPr="00AC0A52" w:rsidRDefault="00AC0A52" w:rsidP="00AC0A52">
      <w:pPr>
        <w:widowControl w:val="0"/>
        <w:suppressAutoHyphens/>
        <w:overflowPunct w:val="0"/>
        <w:autoSpaceDE w:val="0"/>
        <w:autoSpaceDN w:val="0"/>
        <w:rPr>
          <w:rFonts w:eastAsia="Source Han Sans CN Regular" w:cs="Lohit Devanagari"/>
          <w:kern w:val="2"/>
          <w:szCs w:val="28"/>
          <w:lang w:bidi="ru-RU"/>
        </w:rPr>
      </w:pPr>
      <w:r w:rsidRPr="00AC0A52">
        <w:rPr>
          <w:rFonts w:eastAsia="Source Han Sans CN Regular" w:cs="Lohit Devanagari"/>
          <w:kern w:val="2"/>
          <w:szCs w:val="28"/>
          <w:lang w:bidi="ru-RU"/>
        </w:rPr>
        <w:t>Казань, Кремль</w:t>
      </w:r>
    </w:p>
    <w:p w:rsidR="00AC0A52" w:rsidRPr="00AC0A52" w:rsidRDefault="00AC0A52" w:rsidP="00AC0A52">
      <w:pPr>
        <w:widowControl w:val="0"/>
        <w:suppressAutoHyphens/>
        <w:autoSpaceDE w:val="0"/>
        <w:autoSpaceDN w:val="0"/>
        <w:ind w:right="449"/>
        <w:rPr>
          <w:rFonts w:eastAsia="Source Han Sans CN Regular" w:cs="Lohit Devanagari"/>
          <w:kern w:val="2"/>
          <w:szCs w:val="28"/>
          <w:lang w:bidi="ru-RU"/>
        </w:rPr>
      </w:pPr>
      <w:r w:rsidRPr="00AC0A52">
        <w:rPr>
          <w:rFonts w:eastAsia="Source Han Sans CN Regular" w:cs="Lohit Devanagari"/>
          <w:kern w:val="2"/>
          <w:szCs w:val="28"/>
          <w:lang w:bidi="ru-RU"/>
        </w:rPr>
        <w:t>11 декабря 2025 года</w:t>
      </w:r>
    </w:p>
    <w:p w:rsidR="00AC0A52" w:rsidRPr="00AC0A52" w:rsidRDefault="00AC0A52" w:rsidP="00AC0A52">
      <w:pPr>
        <w:widowControl w:val="0"/>
        <w:tabs>
          <w:tab w:val="left" w:pos="462"/>
        </w:tabs>
        <w:suppressAutoHyphens/>
        <w:autoSpaceDE w:val="0"/>
        <w:autoSpaceDN w:val="0"/>
        <w:ind w:right="449"/>
        <w:rPr>
          <w:rFonts w:eastAsia="Source Han Sans CN Regular" w:cs="Lohit Devanagari"/>
          <w:kern w:val="2"/>
          <w:szCs w:val="28"/>
          <w:lang w:bidi="ru-RU"/>
        </w:rPr>
      </w:pPr>
      <w:r>
        <w:rPr>
          <w:rFonts w:eastAsia="Calibri" w:cs="Lohit Devanagari"/>
          <w:kern w:val="2"/>
          <w:szCs w:val="28"/>
          <w:lang w:eastAsia="en-US" w:bidi="ru-RU"/>
        </w:rPr>
        <w:t>№ 84</w:t>
      </w:r>
      <w:bookmarkStart w:id="0" w:name="_GoBack"/>
      <w:bookmarkEnd w:id="0"/>
      <w:r w:rsidRPr="00AC0A52">
        <w:rPr>
          <w:rFonts w:eastAsia="Calibri" w:cs="Lohit Devanagari"/>
          <w:kern w:val="2"/>
          <w:szCs w:val="28"/>
          <w:lang w:eastAsia="en-US" w:bidi="ru-RU"/>
        </w:rPr>
        <w:t>-ЗРТ</w:t>
      </w:r>
    </w:p>
    <w:p w:rsidR="00AC0A52" w:rsidRDefault="00AC0A52">
      <w:pPr>
        <w:tabs>
          <w:tab w:val="left" w:pos="0"/>
          <w:tab w:val="left" w:pos="7320"/>
        </w:tabs>
        <w:jc w:val="both"/>
        <w:rPr>
          <w:rFonts w:eastAsiaTheme="minorHAnsi"/>
          <w:bCs/>
          <w:szCs w:val="28"/>
          <w:lang w:eastAsia="en-US"/>
        </w:rPr>
      </w:pPr>
    </w:p>
    <w:sectPr w:rsidR="00AC0A52">
      <w:headerReference w:type="even" r:id="rId6"/>
      <w:headerReference w:type="default" r:id="rId7"/>
      <w:pgSz w:w="11906" w:h="16838"/>
      <w:pgMar w:top="1134" w:right="624" w:bottom="1134" w:left="10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52C" w:rsidRDefault="008E652C">
      <w:r>
        <w:separator/>
      </w:r>
    </w:p>
  </w:endnote>
  <w:endnote w:type="continuationSeparator" w:id="0">
    <w:p w:rsidR="008E652C" w:rsidRDefault="008E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52C" w:rsidRDefault="008E652C">
      <w:r>
        <w:separator/>
      </w:r>
    </w:p>
  </w:footnote>
  <w:footnote w:type="continuationSeparator" w:id="0">
    <w:p w:rsidR="008E652C" w:rsidRDefault="008E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06" w:rsidRDefault="008E652C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2006" w:rsidRDefault="000E200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06" w:rsidRDefault="008E652C">
    <w:pPr>
      <w:pStyle w:val="ac"/>
      <w:framePr w:wrap="around" w:vAnchor="text" w:hAnchor="page" w:x="6202" w:y="-16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A52">
      <w:rPr>
        <w:rStyle w:val="a5"/>
        <w:noProof/>
      </w:rPr>
      <w:t>2</w:t>
    </w:r>
    <w:r>
      <w:rPr>
        <w:rStyle w:val="a5"/>
      </w:rPr>
      <w:fldChar w:fldCharType="end"/>
    </w:r>
  </w:p>
  <w:p w:rsidR="000E2006" w:rsidRDefault="000E200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37"/>
    <w:rsid w:val="000012D0"/>
    <w:rsid w:val="000018DC"/>
    <w:rsid w:val="00004546"/>
    <w:rsid w:val="000047E5"/>
    <w:rsid w:val="000056AE"/>
    <w:rsid w:val="000102DF"/>
    <w:rsid w:val="0001427F"/>
    <w:rsid w:val="0003487A"/>
    <w:rsid w:val="00044321"/>
    <w:rsid w:val="00044BB5"/>
    <w:rsid w:val="0004529C"/>
    <w:rsid w:val="0005026F"/>
    <w:rsid w:val="00053876"/>
    <w:rsid w:val="0007203A"/>
    <w:rsid w:val="00084B26"/>
    <w:rsid w:val="00086A42"/>
    <w:rsid w:val="000877F7"/>
    <w:rsid w:val="0009415A"/>
    <w:rsid w:val="000948FF"/>
    <w:rsid w:val="00096DF6"/>
    <w:rsid w:val="000B480F"/>
    <w:rsid w:val="000C2383"/>
    <w:rsid w:val="000C37D3"/>
    <w:rsid w:val="000D25F4"/>
    <w:rsid w:val="000E03D1"/>
    <w:rsid w:val="000E2006"/>
    <w:rsid w:val="00112992"/>
    <w:rsid w:val="0012715C"/>
    <w:rsid w:val="00144611"/>
    <w:rsid w:val="001475A4"/>
    <w:rsid w:val="00155758"/>
    <w:rsid w:val="00166A9C"/>
    <w:rsid w:val="00170DC7"/>
    <w:rsid w:val="00175B4A"/>
    <w:rsid w:val="00180AEC"/>
    <w:rsid w:val="0018329B"/>
    <w:rsid w:val="00185C3C"/>
    <w:rsid w:val="0018640B"/>
    <w:rsid w:val="001A4DE1"/>
    <w:rsid w:val="001B175F"/>
    <w:rsid w:val="001B74D1"/>
    <w:rsid w:val="001E110F"/>
    <w:rsid w:val="001F1114"/>
    <w:rsid w:val="0023726A"/>
    <w:rsid w:val="00254DD7"/>
    <w:rsid w:val="002606DA"/>
    <w:rsid w:val="00275A58"/>
    <w:rsid w:val="002815EA"/>
    <w:rsid w:val="0028550B"/>
    <w:rsid w:val="0029465F"/>
    <w:rsid w:val="00297330"/>
    <w:rsid w:val="002A52F9"/>
    <w:rsid w:val="002B4B83"/>
    <w:rsid w:val="002D4B22"/>
    <w:rsid w:val="002E0A66"/>
    <w:rsid w:val="002E1683"/>
    <w:rsid w:val="002E17AE"/>
    <w:rsid w:val="002E6723"/>
    <w:rsid w:val="002F39A5"/>
    <w:rsid w:val="00311D1B"/>
    <w:rsid w:val="00333E31"/>
    <w:rsid w:val="003431B2"/>
    <w:rsid w:val="00373BAE"/>
    <w:rsid w:val="00397B4C"/>
    <w:rsid w:val="003A5917"/>
    <w:rsid w:val="003B3FF4"/>
    <w:rsid w:val="003C48B2"/>
    <w:rsid w:val="003D6B52"/>
    <w:rsid w:val="003D6CEE"/>
    <w:rsid w:val="003F2147"/>
    <w:rsid w:val="00403E78"/>
    <w:rsid w:val="004058A6"/>
    <w:rsid w:val="0043342F"/>
    <w:rsid w:val="00441576"/>
    <w:rsid w:val="00445770"/>
    <w:rsid w:val="0045572D"/>
    <w:rsid w:val="0045583C"/>
    <w:rsid w:val="00467246"/>
    <w:rsid w:val="00481909"/>
    <w:rsid w:val="004B17F5"/>
    <w:rsid w:val="004C6E8A"/>
    <w:rsid w:val="004D0EE4"/>
    <w:rsid w:val="004D4976"/>
    <w:rsid w:val="004F575F"/>
    <w:rsid w:val="005002DE"/>
    <w:rsid w:val="00503D2D"/>
    <w:rsid w:val="00511850"/>
    <w:rsid w:val="00513AC6"/>
    <w:rsid w:val="00541147"/>
    <w:rsid w:val="00546D51"/>
    <w:rsid w:val="005559D3"/>
    <w:rsid w:val="00557F9E"/>
    <w:rsid w:val="00574F5C"/>
    <w:rsid w:val="005829E7"/>
    <w:rsid w:val="00597EDD"/>
    <w:rsid w:val="005A72B4"/>
    <w:rsid w:val="005B7B1D"/>
    <w:rsid w:val="005C6E51"/>
    <w:rsid w:val="005D70E3"/>
    <w:rsid w:val="005F13CD"/>
    <w:rsid w:val="005F3A18"/>
    <w:rsid w:val="005F7455"/>
    <w:rsid w:val="0061497B"/>
    <w:rsid w:val="00616F42"/>
    <w:rsid w:val="00630A40"/>
    <w:rsid w:val="00633171"/>
    <w:rsid w:val="00647FA7"/>
    <w:rsid w:val="00651529"/>
    <w:rsid w:val="00652564"/>
    <w:rsid w:val="0066446E"/>
    <w:rsid w:val="00664480"/>
    <w:rsid w:val="006726EE"/>
    <w:rsid w:val="006B23FE"/>
    <w:rsid w:val="006B41D5"/>
    <w:rsid w:val="006C02C5"/>
    <w:rsid w:val="006C2BE5"/>
    <w:rsid w:val="006F19BC"/>
    <w:rsid w:val="00715B5F"/>
    <w:rsid w:val="007166DB"/>
    <w:rsid w:val="0072427C"/>
    <w:rsid w:val="00731776"/>
    <w:rsid w:val="00733073"/>
    <w:rsid w:val="007430F4"/>
    <w:rsid w:val="0074769C"/>
    <w:rsid w:val="00751383"/>
    <w:rsid w:val="0075171B"/>
    <w:rsid w:val="007629D8"/>
    <w:rsid w:val="0077510F"/>
    <w:rsid w:val="0077701B"/>
    <w:rsid w:val="00794ED7"/>
    <w:rsid w:val="007A031E"/>
    <w:rsid w:val="007A0ABF"/>
    <w:rsid w:val="007A3B8A"/>
    <w:rsid w:val="007B09A2"/>
    <w:rsid w:val="007C458A"/>
    <w:rsid w:val="007D3962"/>
    <w:rsid w:val="007F51C2"/>
    <w:rsid w:val="0080582E"/>
    <w:rsid w:val="008064AE"/>
    <w:rsid w:val="00811271"/>
    <w:rsid w:val="00813A87"/>
    <w:rsid w:val="00842C85"/>
    <w:rsid w:val="008653A3"/>
    <w:rsid w:val="00866E14"/>
    <w:rsid w:val="0086715C"/>
    <w:rsid w:val="008738AD"/>
    <w:rsid w:val="008777BF"/>
    <w:rsid w:val="00895217"/>
    <w:rsid w:val="008A1DE4"/>
    <w:rsid w:val="008C2596"/>
    <w:rsid w:val="008C4162"/>
    <w:rsid w:val="008D15A1"/>
    <w:rsid w:val="008D7ECF"/>
    <w:rsid w:val="008E652C"/>
    <w:rsid w:val="008F76CF"/>
    <w:rsid w:val="009359B2"/>
    <w:rsid w:val="00940B43"/>
    <w:rsid w:val="009559A4"/>
    <w:rsid w:val="009565B6"/>
    <w:rsid w:val="00966CBA"/>
    <w:rsid w:val="00973351"/>
    <w:rsid w:val="009D4C62"/>
    <w:rsid w:val="009E27CF"/>
    <w:rsid w:val="00A14588"/>
    <w:rsid w:val="00A14751"/>
    <w:rsid w:val="00A2045A"/>
    <w:rsid w:val="00A220E6"/>
    <w:rsid w:val="00A23537"/>
    <w:rsid w:val="00A30F03"/>
    <w:rsid w:val="00A4223F"/>
    <w:rsid w:val="00A52459"/>
    <w:rsid w:val="00A73816"/>
    <w:rsid w:val="00A74299"/>
    <w:rsid w:val="00A95707"/>
    <w:rsid w:val="00AA0496"/>
    <w:rsid w:val="00AA0FC7"/>
    <w:rsid w:val="00AA4A61"/>
    <w:rsid w:val="00AB0290"/>
    <w:rsid w:val="00AC0A52"/>
    <w:rsid w:val="00AC4319"/>
    <w:rsid w:val="00AD6C6D"/>
    <w:rsid w:val="00AE0EB5"/>
    <w:rsid w:val="00AE7D6A"/>
    <w:rsid w:val="00AF1667"/>
    <w:rsid w:val="00AF615E"/>
    <w:rsid w:val="00B0401C"/>
    <w:rsid w:val="00B265B5"/>
    <w:rsid w:val="00B3390E"/>
    <w:rsid w:val="00B4073A"/>
    <w:rsid w:val="00B456EF"/>
    <w:rsid w:val="00B52987"/>
    <w:rsid w:val="00B56375"/>
    <w:rsid w:val="00B60D65"/>
    <w:rsid w:val="00B65865"/>
    <w:rsid w:val="00B66354"/>
    <w:rsid w:val="00B673E8"/>
    <w:rsid w:val="00B7041C"/>
    <w:rsid w:val="00B77D13"/>
    <w:rsid w:val="00BA1E6C"/>
    <w:rsid w:val="00BA5D88"/>
    <w:rsid w:val="00BF7921"/>
    <w:rsid w:val="00C15284"/>
    <w:rsid w:val="00C17856"/>
    <w:rsid w:val="00C24480"/>
    <w:rsid w:val="00C2491F"/>
    <w:rsid w:val="00C4038A"/>
    <w:rsid w:val="00C41F31"/>
    <w:rsid w:val="00C84CF1"/>
    <w:rsid w:val="00C90BEB"/>
    <w:rsid w:val="00CB7A08"/>
    <w:rsid w:val="00CC097A"/>
    <w:rsid w:val="00CC1FD1"/>
    <w:rsid w:val="00CC2F09"/>
    <w:rsid w:val="00CD119D"/>
    <w:rsid w:val="00CD18D8"/>
    <w:rsid w:val="00D04A24"/>
    <w:rsid w:val="00D10277"/>
    <w:rsid w:val="00D262BB"/>
    <w:rsid w:val="00D36759"/>
    <w:rsid w:val="00D41FF7"/>
    <w:rsid w:val="00D45426"/>
    <w:rsid w:val="00D73731"/>
    <w:rsid w:val="00D811D4"/>
    <w:rsid w:val="00D84593"/>
    <w:rsid w:val="00D927AA"/>
    <w:rsid w:val="00D9305B"/>
    <w:rsid w:val="00DD39DE"/>
    <w:rsid w:val="00DD5613"/>
    <w:rsid w:val="00DD5A75"/>
    <w:rsid w:val="00DD5CEE"/>
    <w:rsid w:val="00DE36E3"/>
    <w:rsid w:val="00DF2DD2"/>
    <w:rsid w:val="00DF7D52"/>
    <w:rsid w:val="00E02E0B"/>
    <w:rsid w:val="00E11893"/>
    <w:rsid w:val="00E16488"/>
    <w:rsid w:val="00E2189E"/>
    <w:rsid w:val="00E220F3"/>
    <w:rsid w:val="00E25EA4"/>
    <w:rsid w:val="00E26426"/>
    <w:rsid w:val="00E316C9"/>
    <w:rsid w:val="00E45DAD"/>
    <w:rsid w:val="00E5159F"/>
    <w:rsid w:val="00E55A17"/>
    <w:rsid w:val="00E62EE7"/>
    <w:rsid w:val="00E821B7"/>
    <w:rsid w:val="00E9312F"/>
    <w:rsid w:val="00EA1BA7"/>
    <w:rsid w:val="00EA439E"/>
    <w:rsid w:val="00EB6B3D"/>
    <w:rsid w:val="00EB6C7F"/>
    <w:rsid w:val="00EE2526"/>
    <w:rsid w:val="00EF190C"/>
    <w:rsid w:val="00EF6215"/>
    <w:rsid w:val="00F130E2"/>
    <w:rsid w:val="00F1385E"/>
    <w:rsid w:val="00F166A5"/>
    <w:rsid w:val="00F2440E"/>
    <w:rsid w:val="00F308F7"/>
    <w:rsid w:val="00F32788"/>
    <w:rsid w:val="00F341AA"/>
    <w:rsid w:val="00F43053"/>
    <w:rsid w:val="00F551F1"/>
    <w:rsid w:val="00F63A6D"/>
    <w:rsid w:val="00F63DBC"/>
    <w:rsid w:val="00F64378"/>
    <w:rsid w:val="00F65878"/>
    <w:rsid w:val="00F747C9"/>
    <w:rsid w:val="00F873B3"/>
    <w:rsid w:val="00FA29A2"/>
    <w:rsid w:val="00FB4B37"/>
    <w:rsid w:val="00FC0EA4"/>
    <w:rsid w:val="00FC2DBE"/>
    <w:rsid w:val="00FD6B6F"/>
    <w:rsid w:val="00FF5A57"/>
    <w:rsid w:val="1B4B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E269"/>
  <w15:docId w15:val="{0D073DF5-EFAF-4235-BDCA-B8864343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qFormat/>
    <w:pPr>
      <w:spacing w:after="120" w:line="480" w:lineRule="auto"/>
    </w:pPr>
    <w:rPr>
      <w:rFonts w:ascii="Calibri" w:eastAsia="Calibri" w:hAnsi="Calibri" w:cs="Calibri"/>
      <w:sz w:val="24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link w:val="af"/>
    <w:pPr>
      <w:spacing w:after="120"/>
      <w:ind w:left="283"/>
    </w:p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Pr>
      <w:rFonts w:ascii="Calibri" w:eastAsia="Calibri" w:hAnsi="Calibri" w:cs="Calibri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semiHidden/>
    <w:qFormat/>
    <w:pPr>
      <w:suppressAutoHyphens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semiHidden/>
    <w:qFormat/>
    <w:pPr>
      <w:suppressAutoHyphens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Яруллина_АИ</cp:lastModifiedBy>
  <cp:revision>11</cp:revision>
  <cp:lastPrinted>2025-11-21T11:56:00Z</cp:lastPrinted>
  <dcterms:created xsi:type="dcterms:W3CDTF">2025-11-18T07:08:00Z</dcterms:created>
  <dcterms:modified xsi:type="dcterms:W3CDTF">2025-12-11T07:34:00Z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BC1BC44D8BA94444A9D88069685B5615_13</vt:lpwstr>
  </property>
</Properties>
</file>