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AE" w:rsidRPr="00CC77F5" w:rsidRDefault="00191EAE" w:rsidP="00405F91">
      <w:pPr>
        <w:pStyle w:val="ConsNonformat"/>
        <w:ind w:left="7080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191EAE" w:rsidRPr="00CC77F5" w:rsidRDefault="00191EAE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C77F5" w:rsidRPr="00CC77F5" w:rsidRDefault="00CC77F5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C77F5" w:rsidRPr="00CC77F5" w:rsidRDefault="00CC77F5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C77F5" w:rsidRPr="00CC77F5" w:rsidRDefault="00CC77F5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C77F5" w:rsidRPr="00CC77F5" w:rsidRDefault="00CC77F5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C77F5" w:rsidRPr="00CC77F5" w:rsidRDefault="00CC77F5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C77F5" w:rsidRPr="00CC77F5" w:rsidRDefault="00CC77F5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DB28B3" w:rsidRPr="00CC77F5" w:rsidRDefault="00405F91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>«</w:t>
      </w:r>
      <w:r w:rsidR="00DB28B3" w:rsidRPr="00CC77F5">
        <w:rPr>
          <w:rFonts w:ascii="Times New Roman" w:hAnsi="Times New Roman" w:cs="Times New Roman"/>
          <w:b/>
          <w:sz w:val="28"/>
          <w:szCs w:val="28"/>
          <w:lang w:val="tt-RU"/>
        </w:rPr>
        <w:t>Янгын куркынычсызлыгы турында</w:t>
      </w: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>»</w:t>
      </w:r>
      <w:r w:rsidR="00BC7E14"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Татарстан Республикас</w:t>
      </w: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>ы Законы</w:t>
      </w:r>
      <w:r w:rsidR="00BC7E14"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>н</w:t>
      </w:r>
      <w:r w:rsidR="00DB28B3"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ың </w:t>
      </w:r>
    </w:p>
    <w:p w:rsidR="00BC7E14" w:rsidRPr="00CC77F5" w:rsidRDefault="00BC40CF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>4</w:t>
      </w:r>
      <w:r w:rsidR="00DB28B3"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статьясын</w:t>
      </w:r>
      <w:r w:rsidR="00BC7E14"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а </w:t>
      </w: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һәм </w:t>
      </w:r>
      <w:r w:rsidRPr="00CC77F5">
        <w:rPr>
          <w:rFonts w:ascii="Times New Roman" w:hAnsi="Times New Roman" w:cs="Times New Roman"/>
          <w:b/>
          <w:sz w:val="28"/>
          <w:szCs w:val="28"/>
          <w:lang w:val="tt-RU"/>
        </w:rPr>
        <w:t>«Халыкны һәм территорияләрне гадәттән тыш хәлләрдән</w:t>
      </w: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CC77F5">
        <w:rPr>
          <w:rFonts w:ascii="Times New Roman" w:hAnsi="Times New Roman" w:cs="Times New Roman"/>
          <w:b/>
          <w:sz w:val="28"/>
          <w:szCs w:val="28"/>
          <w:lang w:val="tt-RU"/>
        </w:rPr>
        <w:t>яклау турында» Татарстан Республикасы Законының</w:t>
      </w: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CC77F5">
        <w:rPr>
          <w:rFonts w:ascii="Times New Roman" w:hAnsi="Times New Roman" w:cs="Times New Roman"/>
          <w:b/>
          <w:sz w:val="28"/>
          <w:szCs w:val="28"/>
          <w:lang w:val="tt-RU"/>
        </w:rPr>
        <w:t>9 статья</w:t>
      </w:r>
      <w:r w:rsidR="003A7137" w:rsidRPr="00CC77F5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 w:rsidRPr="00CC77F5">
        <w:rPr>
          <w:rFonts w:ascii="Times New Roman" w:hAnsi="Times New Roman" w:cs="Times New Roman"/>
          <w:b/>
          <w:sz w:val="28"/>
          <w:szCs w:val="28"/>
          <w:lang w:val="tt-RU"/>
        </w:rPr>
        <w:t>ына</w:t>
      </w: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BC7E14"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>үзгәрешләр кертү хакында</w:t>
      </w:r>
    </w:p>
    <w:p w:rsidR="00CC77F5" w:rsidRPr="00CC77F5" w:rsidRDefault="00CC77F5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C77F5" w:rsidRPr="00CC77F5" w:rsidRDefault="00CC77F5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C77F5" w:rsidRPr="00CC77F5" w:rsidRDefault="00CC77F5" w:rsidP="00CC77F5">
      <w:pPr>
        <w:jc w:val="right"/>
        <w:rPr>
          <w:sz w:val="28"/>
          <w:szCs w:val="28"/>
        </w:rPr>
      </w:pPr>
      <w:r w:rsidRPr="00CC77F5">
        <w:rPr>
          <w:sz w:val="28"/>
          <w:szCs w:val="28"/>
        </w:rPr>
        <w:t xml:space="preserve">Татарстан </w:t>
      </w:r>
      <w:proofErr w:type="spellStart"/>
      <w:r w:rsidRPr="00CC77F5">
        <w:rPr>
          <w:sz w:val="28"/>
          <w:szCs w:val="28"/>
        </w:rPr>
        <w:t>Республикасы</w:t>
      </w:r>
      <w:proofErr w:type="spellEnd"/>
      <w:r w:rsidRPr="00CC77F5">
        <w:rPr>
          <w:sz w:val="28"/>
          <w:szCs w:val="28"/>
        </w:rPr>
        <w:t xml:space="preserve"> </w:t>
      </w:r>
    </w:p>
    <w:p w:rsidR="00CC77F5" w:rsidRPr="00CC77F5" w:rsidRDefault="00CC77F5" w:rsidP="00CC77F5">
      <w:pPr>
        <w:jc w:val="right"/>
        <w:rPr>
          <w:sz w:val="28"/>
          <w:szCs w:val="28"/>
        </w:rPr>
      </w:pPr>
      <w:proofErr w:type="spellStart"/>
      <w:r w:rsidRPr="00CC77F5">
        <w:rPr>
          <w:sz w:val="28"/>
          <w:szCs w:val="28"/>
        </w:rPr>
        <w:t>Дәүләт</w:t>
      </w:r>
      <w:proofErr w:type="spellEnd"/>
      <w:r w:rsidRPr="00CC77F5">
        <w:rPr>
          <w:sz w:val="28"/>
          <w:szCs w:val="28"/>
        </w:rPr>
        <w:t xml:space="preserve"> Советы </w:t>
      </w:r>
      <w:proofErr w:type="spellStart"/>
      <w:r w:rsidRPr="00CC77F5">
        <w:rPr>
          <w:sz w:val="28"/>
          <w:szCs w:val="28"/>
        </w:rPr>
        <w:t>тарафыннан</w:t>
      </w:r>
      <w:proofErr w:type="spellEnd"/>
    </w:p>
    <w:p w:rsidR="00CC77F5" w:rsidRPr="00CC77F5" w:rsidRDefault="00CC77F5" w:rsidP="00CC77F5">
      <w:pPr>
        <w:jc w:val="right"/>
        <w:rPr>
          <w:sz w:val="28"/>
          <w:szCs w:val="28"/>
        </w:rPr>
      </w:pPr>
      <w:r w:rsidRPr="00CC77F5">
        <w:rPr>
          <w:sz w:val="28"/>
          <w:szCs w:val="28"/>
        </w:rPr>
        <w:t xml:space="preserve">2024 </w:t>
      </w:r>
      <w:proofErr w:type="spellStart"/>
      <w:r w:rsidRPr="00CC77F5">
        <w:rPr>
          <w:sz w:val="28"/>
          <w:szCs w:val="28"/>
        </w:rPr>
        <w:t>елның</w:t>
      </w:r>
      <w:proofErr w:type="spellEnd"/>
      <w:r w:rsidRPr="00CC77F5">
        <w:rPr>
          <w:sz w:val="28"/>
          <w:szCs w:val="28"/>
        </w:rPr>
        <w:t xml:space="preserve"> </w:t>
      </w:r>
      <w:r w:rsidRPr="00CC77F5">
        <w:rPr>
          <w:sz w:val="28"/>
          <w:szCs w:val="28"/>
          <w:lang w:val="tt-RU"/>
        </w:rPr>
        <w:t>9</w:t>
      </w:r>
      <w:r w:rsidRPr="00CC77F5">
        <w:rPr>
          <w:sz w:val="28"/>
          <w:szCs w:val="28"/>
        </w:rPr>
        <w:t xml:space="preserve"> </w:t>
      </w:r>
      <w:r w:rsidRPr="00CC77F5">
        <w:rPr>
          <w:sz w:val="28"/>
          <w:szCs w:val="28"/>
          <w:lang w:val="tt-RU"/>
        </w:rPr>
        <w:t>ок</w:t>
      </w:r>
      <w:proofErr w:type="spellStart"/>
      <w:r w:rsidRPr="00CC77F5">
        <w:rPr>
          <w:sz w:val="28"/>
          <w:szCs w:val="28"/>
        </w:rPr>
        <w:t>тябрендә</w:t>
      </w:r>
      <w:proofErr w:type="spellEnd"/>
    </w:p>
    <w:p w:rsidR="00CC77F5" w:rsidRPr="00CC77F5" w:rsidRDefault="00CC77F5" w:rsidP="00CC77F5">
      <w:pPr>
        <w:pStyle w:val="ConsNonformat"/>
        <w:jc w:val="right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sz w:val="28"/>
          <w:szCs w:val="28"/>
        </w:rPr>
        <w:t xml:space="preserve">кабул </w:t>
      </w:r>
      <w:proofErr w:type="spellStart"/>
      <w:r w:rsidRPr="00CC77F5">
        <w:rPr>
          <w:rFonts w:ascii="Times New Roman" w:hAnsi="Times New Roman" w:cs="Times New Roman"/>
          <w:sz w:val="28"/>
          <w:szCs w:val="28"/>
        </w:rPr>
        <w:t>ителде</w:t>
      </w:r>
      <w:proofErr w:type="spellEnd"/>
    </w:p>
    <w:p w:rsidR="00BC7E14" w:rsidRPr="00CC77F5" w:rsidRDefault="00BC7E14" w:rsidP="00405F91">
      <w:pPr>
        <w:pStyle w:val="ConsNonforma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405F91" w:rsidRPr="00CC77F5" w:rsidRDefault="00405F91" w:rsidP="00405F91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E6AA6" w:rsidRPr="00CC77F5" w:rsidRDefault="00DB28B3" w:rsidP="004E6AA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b/>
          <w:sz w:val="28"/>
          <w:szCs w:val="28"/>
          <w:lang w:val="tt-RU"/>
        </w:rPr>
        <w:t>1 статья</w:t>
      </w:r>
    </w:p>
    <w:p w:rsidR="004E6AA6" w:rsidRPr="00CC77F5" w:rsidRDefault="004E6AA6" w:rsidP="004E6AA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E706B" w:rsidRPr="00CC77F5" w:rsidRDefault="004E6AA6" w:rsidP="00DB28B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«Янгын куркынычсызлыгы </w:t>
      </w:r>
      <w:r w:rsidR="00BE66BB">
        <w:rPr>
          <w:rFonts w:ascii="Times New Roman" w:hAnsi="Times New Roman" w:cs="Times New Roman"/>
          <w:sz w:val="28"/>
          <w:szCs w:val="28"/>
          <w:lang w:val="tt-RU"/>
        </w:rPr>
        <w:t>турында» 1993 елның 18 маендагы</w:t>
      </w:r>
      <w:r w:rsidR="00BE66BB">
        <w:rPr>
          <w:rFonts w:ascii="Times New Roman" w:hAnsi="Times New Roman" w:cs="Times New Roman"/>
          <w:sz w:val="28"/>
          <w:szCs w:val="28"/>
          <w:lang w:val="tt-RU"/>
        </w:rPr>
        <w:br/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1866-XII номерлы Татарстан Республикасы Законының </w:t>
      </w:r>
      <w:r w:rsidR="00734054" w:rsidRPr="00CC77F5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 статьясын</w:t>
      </w:r>
      <w:r w:rsidR="00734054" w:rsidRPr="00CC77F5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734054" w:rsidRPr="00CC77F5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23491" w:rsidRPr="00CC77F5">
        <w:rPr>
          <w:rFonts w:ascii="Times New Roman" w:hAnsi="Times New Roman" w:cs="Times New Roman"/>
          <w:sz w:val="28"/>
          <w:szCs w:val="28"/>
          <w:lang w:val="tt-RU"/>
        </w:rPr>
        <w:t>ундүртенче абзацына (2005 елның 26 февралендәге 54-ТРЗ номерлы Татарстан Республикасы Законы редакциясендә) (Татарстан Югары Советы Җыелма басмасы, 1993,            № 11 – 12; Татарстан Дәүләт Советы Җыелма басмасы, 2005, № 2; 2006, № 7             (I өлеш); 2007, № 4; 2008, № 6; 2011, № 5; 2012, № 3, № 5 (I өлеш); 2013, № 5; 2014, № 6 (II өлеш); 2015, № 10 (I өлеш); 2016, № 3; Татарстан Республикасы законнар җыелмасы, 2017, № 55 (I өлеш); 2018, № 38 (I өлеш); 2021, № 29 (I өлеш), № 93           (I өлеш); 2022, № 49 (I өлеш), № 77 (I өлеш); 2023, № 20 (I өлеш), № 95 (I өлеш), аны түбәндәге редакциядә бәян итеп, үзгәреш кертергә:</w:t>
      </w:r>
    </w:p>
    <w:p w:rsidR="00B76C07" w:rsidRPr="00CC77F5" w:rsidRDefault="00B76C07" w:rsidP="00405F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A609B9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ландшафт (табигый) янгыннарын (урман фонды җирләрендә, оборона һәм куркынычсызлык җирләрендә, махсус сакланылучы табигать территорияләре җирләрендә урман янгыннарыннан һәм башка ландшафт (табигый) янгыннарыннан тыш) сүндерү </w:t>
      </w:r>
      <w:r w:rsidR="00BF12C4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планнарын эшләү һәм раслау, </w:t>
      </w:r>
      <w:r w:rsidR="008906D4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шулай ук мондый янгыннарны </w:t>
      </w:r>
      <w:r w:rsidR="00507A2C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сүндерүне 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территориясендә урнашкан </w:t>
      </w:r>
      <w:r w:rsidR="008906D4" w:rsidRPr="00CC77F5">
        <w:rPr>
          <w:rFonts w:ascii="Times New Roman" w:hAnsi="Times New Roman" w:cs="Times New Roman"/>
          <w:sz w:val="28"/>
          <w:szCs w:val="28"/>
          <w:lang w:val="tt-RU"/>
        </w:rPr>
        <w:t>һәм халыкны һәм территорияләрне гадәттән тыш хәлләрдән</w:t>
      </w:r>
      <w:r w:rsidR="008906D4" w:rsidRPr="00CC77F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8906D4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яклау </w:t>
      </w:r>
      <w:r w:rsidR="00507A2C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өлкәсендәге законнар нигезендә эшләүче </w:t>
      </w:r>
      <w:r w:rsidR="008906D4" w:rsidRPr="00CC77F5">
        <w:rPr>
          <w:rFonts w:ascii="Times New Roman" w:hAnsi="Times New Roman" w:cs="Times New Roman"/>
          <w:sz w:val="28"/>
          <w:szCs w:val="28"/>
          <w:lang w:val="tt-RU"/>
        </w:rPr>
        <w:t>гадәттән тыш хәлләрне кисәтү һәм бетерү буенча бердәм дәүләт системасы көчләре һәм чаралары белән оештыру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>;</w:t>
      </w:r>
      <w:r w:rsidR="00F86AE1" w:rsidRPr="00CC77F5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F86AE1" w:rsidRPr="00CC77F5" w:rsidRDefault="00F86AE1" w:rsidP="00405F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86AE1" w:rsidRPr="00CC77F5" w:rsidRDefault="00F86AE1" w:rsidP="00405F91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>2 статья</w:t>
      </w:r>
    </w:p>
    <w:p w:rsidR="00D13BFF" w:rsidRPr="00CC77F5" w:rsidRDefault="00D13BFF" w:rsidP="00405F91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D13BFF" w:rsidRPr="00CC77F5" w:rsidRDefault="00A67F8E" w:rsidP="00405F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sz w:val="28"/>
          <w:szCs w:val="28"/>
          <w:lang w:val="tt-RU"/>
        </w:rPr>
        <w:t>«Халыкны һәм территорияләрне гадәттән тыш хәлләрдән яклау турында» 2004 ел</w:t>
      </w:r>
      <w:r w:rsidRPr="00CC77F5">
        <w:rPr>
          <w:rFonts w:ascii="Times New Roman" w:hAnsi="Times New Roman" w:cs="Times New Roman"/>
          <w:spacing w:val="-2"/>
          <w:sz w:val="28"/>
          <w:szCs w:val="28"/>
          <w:lang w:val="tt-RU"/>
        </w:rPr>
        <w:t>ның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 8 декабрендәге 62-ТРЗ номерлы Татарстан Республикасы Законын</w:t>
      </w:r>
      <w:r w:rsidR="003A7137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ың           </w:t>
      </w:r>
      <w:r w:rsidR="003A7137" w:rsidRPr="00CC77F5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9 статьясына 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>(Татарстан Дәүләт Советы Җыелма басмасы, 2004, № 12 (II өлеш); 2006, № 7 (I өлеш); 2007, № 11; 2010, № 5 (I өлеш); 2011, № 5; 2012, № 3, № 9; 2013,              № </w:t>
      </w:r>
      <w:r w:rsidR="00AF74D0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4 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>(I өлеш); 2014, № 3; 2015, № 3, № 10 (I өлеш); 2016, № 5; Татарстан Республикасы законнар җыелмасы, 2019, № 19 (I өлеш); 2020, № 4 (I өлеш),             № 37 (I өлеш); 2021, № 93 (I өлеш); 2022, № 24 (I өлеш), № 96 (I өлеш); 2023, № 27              (I өлеш)</w:t>
      </w:r>
      <w:r w:rsidR="00AF74D0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; 2024, № 34 (I өлеш) 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кертергә:</w:t>
      </w:r>
    </w:p>
    <w:p w:rsidR="003123C6" w:rsidRPr="00CC77F5" w:rsidRDefault="003123C6" w:rsidP="00405F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F6839" w:rsidRPr="00CC77F5" w:rsidRDefault="00144091" w:rsidP="00F706E7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0F60C0" w:rsidRPr="00CC77F5">
        <w:rPr>
          <w:rFonts w:ascii="Times New Roman" w:hAnsi="Times New Roman" w:cs="Times New Roman"/>
          <w:sz w:val="28"/>
          <w:szCs w:val="28"/>
          <w:lang w:val="tt-RU"/>
        </w:rPr>
        <w:t>) беренче өлеш</w:t>
      </w:r>
      <w:r w:rsidR="00B028E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F706E7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ә </w:t>
      </w:r>
      <w:r w:rsidR="003F6839" w:rsidRPr="00CC77F5">
        <w:rPr>
          <w:rFonts w:ascii="Times New Roman" w:hAnsi="Times New Roman" w:cs="Times New Roman"/>
          <w:sz w:val="28"/>
          <w:szCs w:val="28"/>
          <w:lang w:val="tt-RU"/>
        </w:rPr>
        <w:t>түбәндәге эчтәлекле абзац өстәргә:</w:t>
      </w:r>
    </w:p>
    <w:p w:rsidR="000D6979" w:rsidRDefault="000D6979" w:rsidP="003F683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sz w:val="28"/>
          <w:szCs w:val="28"/>
          <w:lang w:val="tt-RU"/>
        </w:rPr>
        <w:t>«муниципальара һәм региональ характердагы гадәттән тыш хәлләрне кисәтү һәм алардан килгән зыян</w:t>
      </w:r>
      <w:r w:rsidR="00D40FF2" w:rsidRPr="00CC77F5">
        <w:rPr>
          <w:rFonts w:ascii="Times New Roman" w:hAnsi="Times New Roman" w:cs="Times New Roman"/>
          <w:sz w:val="28"/>
          <w:szCs w:val="28"/>
          <w:lang w:val="tt-RU"/>
        </w:rPr>
        <w:t>нар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ны бетерү </w:t>
      </w:r>
      <w:r w:rsidR="00D40FF2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чараларын үткәрү, гадәттән тыш хәлләрдә </w:t>
      </w:r>
      <w:r w:rsidR="00D40FF2" w:rsidRPr="00CC77F5">
        <w:rPr>
          <w:rFonts w:ascii="Times New Roman" w:hAnsi="Times New Roman"/>
          <w:sz w:val="28"/>
          <w:szCs w:val="28"/>
          <w:lang w:val="tt-RU"/>
        </w:rPr>
        <w:t>кешеләрне үлемнән коткаруга һәм аларның сәламәтлеген</w:t>
      </w:r>
      <w:r w:rsidR="00223EEB" w:rsidRPr="00CC77F5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40FF2" w:rsidRPr="00CC77F5">
        <w:rPr>
          <w:rFonts w:ascii="Times New Roman" w:hAnsi="Times New Roman"/>
          <w:sz w:val="28"/>
          <w:szCs w:val="28"/>
          <w:lang w:val="tt-RU"/>
        </w:rPr>
        <w:t>саклауга</w:t>
      </w:r>
      <w:r w:rsidR="00D40FF2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23EEB" w:rsidRPr="00CC77F5">
        <w:rPr>
          <w:rFonts w:ascii="Times New Roman" w:hAnsi="Times New Roman" w:cs="Times New Roman"/>
          <w:sz w:val="28"/>
          <w:szCs w:val="28"/>
          <w:lang w:val="tt-RU"/>
        </w:rPr>
        <w:t>юнәлдерелгән чараларны гамәлгә ашыру.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223EEB" w:rsidRPr="00CC77F5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B0258C" w:rsidRPr="00CC77F5" w:rsidRDefault="00B0258C" w:rsidP="003F683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A6CDB" w:rsidRPr="00CC77F5" w:rsidRDefault="00144091" w:rsidP="003F6839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0A6CDB"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) икенче өлештә </w:t>
      </w:r>
      <w:r w:rsidR="006E3C75" w:rsidRPr="00CC77F5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6E3C75" w:rsidRPr="00CC77F5">
        <w:rPr>
          <w:rFonts w:ascii="Times New Roman" w:hAnsi="Times New Roman"/>
          <w:sz w:val="28"/>
          <w:szCs w:val="28"/>
          <w:lang w:val="tt-RU"/>
        </w:rPr>
        <w:t>егерме өченче»</w:t>
      </w:r>
      <w:r w:rsidR="007A1EFE">
        <w:rPr>
          <w:rFonts w:ascii="Times New Roman" w:hAnsi="Times New Roman"/>
          <w:sz w:val="28"/>
          <w:szCs w:val="28"/>
          <w:lang w:val="tt-RU"/>
        </w:rPr>
        <w:t xml:space="preserve"> сүзләреннән соң «һәм </w:t>
      </w:r>
      <w:r w:rsidR="006E3C75" w:rsidRPr="00CC77F5">
        <w:rPr>
          <w:rFonts w:ascii="Times New Roman" w:hAnsi="Times New Roman"/>
          <w:sz w:val="28"/>
          <w:szCs w:val="28"/>
          <w:lang w:val="tt-RU"/>
        </w:rPr>
        <w:t>егерме алтынчы» сүзләрен өстәргә.</w:t>
      </w:r>
    </w:p>
    <w:p w:rsidR="00B76C07" w:rsidRPr="00CC77F5" w:rsidRDefault="00B76C07" w:rsidP="00405F91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191EAE" w:rsidRPr="00CC77F5" w:rsidRDefault="00F86AE1" w:rsidP="00405F91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>3</w:t>
      </w:r>
      <w:r w:rsidR="00191EAE"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</w:t>
      </w:r>
    </w:p>
    <w:p w:rsidR="00191EAE" w:rsidRPr="00CC77F5" w:rsidRDefault="00191EAE" w:rsidP="00405F9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91EAE" w:rsidRPr="00CC77F5" w:rsidRDefault="00B56373" w:rsidP="00405F9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Әлеге Закон </w:t>
      </w:r>
      <w:r w:rsidR="00E64037" w:rsidRPr="00CC77F5">
        <w:rPr>
          <w:rFonts w:ascii="Times New Roman" w:hAnsi="Times New Roman" w:cs="Times New Roman"/>
          <w:bCs/>
          <w:sz w:val="28"/>
          <w:szCs w:val="28"/>
          <w:lang w:val="tt-RU"/>
        </w:rPr>
        <w:t>2024 елның 26 ноябреннән</w:t>
      </w:r>
      <w:r w:rsidRPr="00CC77F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үз көченә керә. </w:t>
      </w:r>
      <w:r w:rsidR="00191EAE" w:rsidRPr="00CC77F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191EAE" w:rsidRPr="00CC77F5" w:rsidRDefault="00191EAE" w:rsidP="00405F9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91EAE" w:rsidRPr="00CC77F5" w:rsidRDefault="00191EAE" w:rsidP="00405F9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91EAE" w:rsidRPr="00CC77F5" w:rsidRDefault="00191EAE" w:rsidP="00405F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Татарстан Республикасы </w:t>
      </w:r>
    </w:p>
    <w:p w:rsidR="00191EAE" w:rsidRPr="00CC77F5" w:rsidRDefault="00191EAE" w:rsidP="00411985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</w:t>
      </w:r>
      <w:r w:rsidR="00B404E4" w:rsidRPr="00CC77F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41198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B404E4" w:rsidRPr="00CC77F5">
        <w:rPr>
          <w:rFonts w:ascii="Times New Roman" w:hAnsi="Times New Roman" w:cs="Times New Roman"/>
          <w:bCs/>
          <w:sz w:val="28"/>
          <w:szCs w:val="28"/>
          <w:lang w:val="tt-RU"/>
        </w:rPr>
        <w:t>Рәисе</w:t>
      </w:r>
      <w:r w:rsidRPr="00CC77F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CC77F5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Pr="00CC77F5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Pr="00CC77F5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Pr="00CC77F5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Pr="00CC77F5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Pr="00CC77F5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="00E1077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</w:t>
      </w:r>
      <w:r w:rsidR="00E1077F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  <w:r w:rsidRPr="00CC77F5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="005B28D4" w:rsidRPr="00CC77F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</w:t>
      </w:r>
    </w:p>
    <w:p w:rsidR="00191EAE" w:rsidRPr="00CC77F5" w:rsidRDefault="00191EAE" w:rsidP="00405F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C7E14" w:rsidRPr="00CC77F5" w:rsidRDefault="00BC7E14" w:rsidP="00405F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B57CA" w:rsidRPr="00CC77F5" w:rsidRDefault="007B57CA" w:rsidP="00405F91">
      <w:pPr>
        <w:ind w:firstLine="720"/>
        <w:jc w:val="both"/>
        <w:rPr>
          <w:lang w:val="tt-RU"/>
        </w:rPr>
      </w:pPr>
    </w:p>
    <w:p w:rsidR="00405F91" w:rsidRPr="00CC77F5" w:rsidRDefault="00405F91">
      <w:pPr>
        <w:ind w:firstLine="720"/>
        <w:jc w:val="both"/>
        <w:rPr>
          <w:lang w:val="tt-RU"/>
        </w:rPr>
      </w:pPr>
    </w:p>
    <w:sectPr w:rsidR="00405F91" w:rsidRPr="00CC77F5" w:rsidSect="0037526E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6CF" w:rsidRDefault="001756CF">
      <w:r>
        <w:separator/>
      </w:r>
    </w:p>
  </w:endnote>
  <w:endnote w:type="continuationSeparator" w:id="0">
    <w:p w:rsidR="001756CF" w:rsidRDefault="00175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6CF" w:rsidRDefault="001756CF">
      <w:r>
        <w:separator/>
      </w:r>
    </w:p>
  </w:footnote>
  <w:footnote w:type="continuationSeparator" w:id="0">
    <w:p w:rsidR="001756CF" w:rsidRDefault="00175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D4" w:rsidRDefault="007C58A9" w:rsidP="005128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B28D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28D4" w:rsidRDefault="005B28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D4" w:rsidRPr="00E81E06" w:rsidRDefault="007C58A9" w:rsidP="00512869">
    <w:pPr>
      <w:pStyle w:val="a3"/>
      <w:framePr w:wrap="around" w:vAnchor="text" w:hAnchor="margin" w:xAlign="center" w:y="1"/>
      <w:rPr>
        <w:rStyle w:val="a4"/>
      </w:rPr>
    </w:pPr>
    <w:r w:rsidRPr="00E81E06">
      <w:rPr>
        <w:rStyle w:val="a4"/>
      </w:rPr>
      <w:fldChar w:fldCharType="begin"/>
    </w:r>
    <w:r w:rsidR="005B28D4" w:rsidRPr="00E81E06">
      <w:rPr>
        <w:rStyle w:val="a4"/>
      </w:rPr>
      <w:instrText xml:space="preserve">PAGE  </w:instrText>
    </w:r>
    <w:r w:rsidRPr="00E81E06">
      <w:rPr>
        <w:rStyle w:val="a4"/>
      </w:rPr>
      <w:fldChar w:fldCharType="separate"/>
    </w:r>
    <w:r w:rsidR="00E81E06">
      <w:rPr>
        <w:rStyle w:val="a4"/>
        <w:noProof/>
      </w:rPr>
      <w:t>2</w:t>
    </w:r>
    <w:r w:rsidRPr="00E81E06">
      <w:rPr>
        <w:rStyle w:val="a4"/>
      </w:rPr>
      <w:fldChar w:fldCharType="end"/>
    </w:r>
  </w:p>
  <w:p w:rsidR="005B28D4" w:rsidRDefault="005B28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043"/>
    <w:multiLevelType w:val="hybridMultilevel"/>
    <w:tmpl w:val="A9E8C85C"/>
    <w:lvl w:ilvl="0" w:tplc="45E0F2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67526"/>
    <w:multiLevelType w:val="hybridMultilevel"/>
    <w:tmpl w:val="38C0678C"/>
    <w:lvl w:ilvl="0" w:tplc="038EA4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45B71"/>
    <w:multiLevelType w:val="hybridMultilevel"/>
    <w:tmpl w:val="5E7E9B7E"/>
    <w:lvl w:ilvl="0" w:tplc="E49A954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0A7B37"/>
    <w:multiLevelType w:val="hybridMultilevel"/>
    <w:tmpl w:val="EBEC62EA"/>
    <w:lvl w:ilvl="0" w:tplc="2DB04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E14"/>
    <w:rsid w:val="00003189"/>
    <w:rsid w:val="000A6CDB"/>
    <w:rsid w:val="000D6979"/>
    <w:rsid w:val="000D7345"/>
    <w:rsid w:val="000F0A04"/>
    <w:rsid w:val="000F60C0"/>
    <w:rsid w:val="00106CE4"/>
    <w:rsid w:val="00136EB2"/>
    <w:rsid w:val="00144091"/>
    <w:rsid w:val="001665FC"/>
    <w:rsid w:val="001756CF"/>
    <w:rsid w:val="00191C45"/>
    <w:rsid w:val="00191EAE"/>
    <w:rsid w:val="00195695"/>
    <w:rsid w:val="001A1E41"/>
    <w:rsid w:val="001F2D6F"/>
    <w:rsid w:val="00223EEB"/>
    <w:rsid w:val="0029039C"/>
    <w:rsid w:val="002972FD"/>
    <w:rsid w:val="002E706B"/>
    <w:rsid w:val="003123C6"/>
    <w:rsid w:val="00354FF3"/>
    <w:rsid w:val="00367AC7"/>
    <w:rsid w:val="00367B63"/>
    <w:rsid w:val="0037526E"/>
    <w:rsid w:val="00383EA7"/>
    <w:rsid w:val="003A7137"/>
    <w:rsid w:val="003C4822"/>
    <w:rsid w:val="003D760D"/>
    <w:rsid w:val="003E490D"/>
    <w:rsid w:val="003F6839"/>
    <w:rsid w:val="00405F91"/>
    <w:rsid w:val="00411985"/>
    <w:rsid w:val="004227CC"/>
    <w:rsid w:val="004E6AA6"/>
    <w:rsid w:val="004F34E7"/>
    <w:rsid w:val="00507A2C"/>
    <w:rsid w:val="00512676"/>
    <w:rsid w:val="00512869"/>
    <w:rsid w:val="00515C57"/>
    <w:rsid w:val="00564777"/>
    <w:rsid w:val="00570114"/>
    <w:rsid w:val="0058529C"/>
    <w:rsid w:val="00587C97"/>
    <w:rsid w:val="005B28D4"/>
    <w:rsid w:val="005D072D"/>
    <w:rsid w:val="005D176F"/>
    <w:rsid w:val="005D42BB"/>
    <w:rsid w:val="00604F29"/>
    <w:rsid w:val="00622743"/>
    <w:rsid w:val="00655D2C"/>
    <w:rsid w:val="00656880"/>
    <w:rsid w:val="006600DA"/>
    <w:rsid w:val="0069095A"/>
    <w:rsid w:val="00693248"/>
    <w:rsid w:val="006E3C75"/>
    <w:rsid w:val="007215F6"/>
    <w:rsid w:val="0072775E"/>
    <w:rsid w:val="00734054"/>
    <w:rsid w:val="007831D2"/>
    <w:rsid w:val="00793EF5"/>
    <w:rsid w:val="007A1834"/>
    <w:rsid w:val="007A1EFE"/>
    <w:rsid w:val="007B57CA"/>
    <w:rsid w:val="007C58A9"/>
    <w:rsid w:val="007D188A"/>
    <w:rsid w:val="007D50E0"/>
    <w:rsid w:val="00847A8F"/>
    <w:rsid w:val="00880218"/>
    <w:rsid w:val="0088482B"/>
    <w:rsid w:val="008906D4"/>
    <w:rsid w:val="008A1533"/>
    <w:rsid w:val="008A4AFB"/>
    <w:rsid w:val="008B37F6"/>
    <w:rsid w:val="008C7091"/>
    <w:rsid w:val="008F7665"/>
    <w:rsid w:val="00912B25"/>
    <w:rsid w:val="00922C63"/>
    <w:rsid w:val="009240EE"/>
    <w:rsid w:val="00934B51"/>
    <w:rsid w:val="009C7B0C"/>
    <w:rsid w:val="009E1A8B"/>
    <w:rsid w:val="009F661B"/>
    <w:rsid w:val="009F7DFF"/>
    <w:rsid w:val="00A108AF"/>
    <w:rsid w:val="00A302AE"/>
    <w:rsid w:val="00A520D5"/>
    <w:rsid w:val="00A609B9"/>
    <w:rsid w:val="00A67F8E"/>
    <w:rsid w:val="00A97972"/>
    <w:rsid w:val="00AD54F9"/>
    <w:rsid w:val="00AF74D0"/>
    <w:rsid w:val="00B0258C"/>
    <w:rsid w:val="00B028E3"/>
    <w:rsid w:val="00B30D24"/>
    <w:rsid w:val="00B404E4"/>
    <w:rsid w:val="00B56373"/>
    <w:rsid w:val="00B62154"/>
    <w:rsid w:val="00B76C07"/>
    <w:rsid w:val="00BA1465"/>
    <w:rsid w:val="00BB6DDF"/>
    <w:rsid w:val="00BC40CF"/>
    <w:rsid w:val="00BC7E14"/>
    <w:rsid w:val="00BE66BB"/>
    <w:rsid w:val="00BE66E6"/>
    <w:rsid w:val="00BF12C4"/>
    <w:rsid w:val="00C01257"/>
    <w:rsid w:val="00C23491"/>
    <w:rsid w:val="00C3105B"/>
    <w:rsid w:val="00C40150"/>
    <w:rsid w:val="00C500D9"/>
    <w:rsid w:val="00C634FC"/>
    <w:rsid w:val="00CA3839"/>
    <w:rsid w:val="00CA6861"/>
    <w:rsid w:val="00CC559A"/>
    <w:rsid w:val="00CC77F5"/>
    <w:rsid w:val="00CE4A71"/>
    <w:rsid w:val="00D12FE3"/>
    <w:rsid w:val="00D13BFF"/>
    <w:rsid w:val="00D37D7E"/>
    <w:rsid w:val="00D408A9"/>
    <w:rsid w:val="00D40FCC"/>
    <w:rsid w:val="00D40FF2"/>
    <w:rsid w:val="00D4349B"/>
    <w:rsid w:val="00DB28B3"/>
    <w:rsid w:val="00E1077F"/>
    <w:rsid w:val="00E13086"/>
    <w:rsid w:val="00E64037"/>
    <w:rsid w:val="00E739A5"/>
    <w:rsid w:val="00E7696D"/>
    <w:rsid w:val="00E81E06"/>
    <w:rsid w:val="00EB6C6A"/>
    <w:rsid w:val="00EC007B"/>
    <w:rsid w:val="00EC7175"/>
    <w:rsid w:val="00EE3831"/>
    <w:rsid w:val="00EF1F9E"/>
    <w:rsid w:val="00F17DD5"/>
    <w:rsid w:val="00F21548"/>
    <w:rsid w:val="00F43D95"/>
    <w:rsid w:val="00F619AE"/>
    <w:rsid w:val="00F706E7"/>
    <w:rsid w:val="00F72598"/>
    <w:rsid w:val="00F86AE1"/>
    <w:rsid w:val="00FB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E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7C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7CA"/>
  </w:style>
  <w:style w:type="paragraph" w:styleId="a5">
    <w:name w:val="footer"/>
    <w:basedOn w:val="a"/>
    <w:link w:val="a6"/>
    <w:uiPriority w:val="99"/>
    <w:rsid w:val="007B57C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C7E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C7E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5B28D4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405F91"/>
    <w:pPr>
      <w:widowControl w:val="0"/>
      <w:autoSpaceDE w:val="0"/>
      <w:autoSpaceDN w:val="0"/>
    </w:pPr>
    <w:rPr>
      <w:b/>
      <w:sz w:val="24"/>
    </w:rPr>
  </w:style>
  <w:style w:type="paragraph" w:styleId="a8">
    <w:name w:val="List Paragraph"/>
    <w:basedOn w:val="a"/>
    <w:uiPriority w:val="34"/>
    <w:qFormat/>
    <w:rsid w:val="002E706B"/>
    <w:pPr>
      <w:ind w:left="720"/>
    </w:pPr>
  </w:style>
  <w:style w:type="character" w:customStyle="1" w:styleId="a6">
    <w:name w:val="Нижний колонтитул Знак"/>
    <w:basedOn w:val="a0"/>
    <w:link w:val="a5"/>
    <w:uiPriority w:val="99"/>
    <w:rsid w:val="00CC77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“Татарстан Республикасында янгыннан  ирекле саклау турында”</vt:lpstr>
    </vt:vector>
  </TitlesOfParts>
  <Company>gsrt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“Татарстан Республикасында янгыннан  ирекле саклау турында”</dc:title>
  <dc:creator>gsrt</dc:creator>
  <cp:lastModifiedBy>muhametshin.rustem</cp:lastModifiedBy>
  <cp:revision>60</cp:revision>
  <cp:lastPrinted>2017-07-10T08:27:00Z</cp:lastPrinted>
  <dcterms:created xsi:type="dcterms:W3CDTF">2023-12-05T13:15:00Z</dcterms:created>
  <dcterms:modified xsi:type="dcterms:W3CDTF">2024-10-11T11:13:00Z</dcterms:modified>
</cp:coreProperties>
</file>