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E64592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86590" w:rsidRDefault="00C86590" w:rsidP="00C8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C86590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«Татарстан Республикасында инвестиция эшчәнлеге турында»</w:t>
      </w:r>
    </w:p>
    <w:p w:rsidR="00C86590" w:rsidRDefault="00C86590" w:rsidP="00C8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C86590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Татарстан Республикасы Законының 9 статьясына һәм</w:t>
      </w:r>
    </w:p>
    <w:p w:rsidR="00C86590" w:rsidRDefault="00C86590" w:rsidP="00C8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C86590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«Татарстан Республикасында инвестиция эшчәнлеге турында» </w:t>
      </w:r>
    </w:p>
    <w:p w:rsidR="00C86590" w:rsidRDefault="00C86590" w:rsidP="00C8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C86590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Татарстан Республикасы Законына үзгәрешләр кертү хакында»</w:t>
      </w:r>
    </w:p>
    <w:p w:rsidR="00B46E54" w:rsidRPr="0081096A" w:rsidRDefault="00C86590" w:rsidP="00C86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86590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Татарстан Республикасы Законының 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</w:t>
      </w:r>
      <w:r w:rsidRPr="00C86590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статьясына үзгәрешләр кертү турында</w:t>
      </w:r>
    </w:p>
    <w:p w:rsidR="00E9456E" w:rsidRDefault="00E9456E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0 феврал</w:t>
      </w:r>
      <w:r w:rsidR="0063401F">
        <w:rPr>
          <w:rFonts w:ascii="Times New Roman" w:eastAsia="Calibri" w:hAnsi="Times New Roman" w:cs="Times New Roman"/>
          <w:sz w:val="28"/>
          <w:szCs w:val="28"/>
          <w:lang w:val="tt-RU"/>
        </w:rPr>
        <w:t>енд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кабул ителде</w:t>
      </w:r>
    </w:p>
    <w:p w:rsidR="00DB4591" w:rsidRDefault="00DB4591" w:rsidP="0094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B538A" w:rsidRDefault="00DB538A" w:rsidP="0094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B4F48" w:rsidRPr="00DB538A" w:rsidRDefault="00AB4F48" w:rsidP="0094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44325" w:rsidRPr="00C86590" w:rsidRDefault="00944325" w:rsidP="00AB4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 w:rsidRPr="00C86590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  <w:r w:rsidRPr="00C8659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 xml:space="preserve"> </w:t>
      </w:r>
    </w:p>
    <w:p w:rsidR="00944325" w:rsidRPr="00C86590" w:rsidRDefault="00944325" w:rsidP="00AB4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C865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Татарстан Республикасында инвестиция эшчәнлеге турында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» 1998 елның 25</w:t>
      </w:r>
      <w:r w:rsidRPr="0076282A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ноябрендәге 1872 номерлы </w:t>
      </w:r>
      <w:r w:rsidRPr="00C86590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tt-RU"/>
        </w:rPr>
        <w:t>Татарстан Республикасы Законының 9 статьясына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(2020 елның 19 ноябрендәге 72-ТРЗ номерлы Татарстан Республикасы Законы редакциясендә) (Татарстан Дәүләт Советы Җыелма басмасы, 1998, № 12; Татарстан Республикасы законнар җыелмасы, 2020, № 87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); 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2021, № 93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2022, № 77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2023, № 20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), № 73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2024, № 28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86590" w:rsidRDefault="00C86590" w:rsidP="00AB4F4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1) </w:t>
      </w:r>
      <w:r w:rsidRPr="00C86590">
        <w:rPr>
          <w:sz w:val="28"/>
          <w:szCs w:val="28"/>
          <w:lang w:val="tt-RU"/>
        </w:rPr>
        <w:t>1 өлештә:</w:t>
      </w:r>
    </w:p>
    <w:p w:rsidR="00C86590" w:rsidRPr="00C86590" w:rsidRDefault="00B9632A" w:rsidP="00AB4F4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а) 2 пунктк</w:t>
      </w:r>
      <w:r w:rsidR="00C86590" w:rsidRPr="00C86590">
        <w:rPr>
          <w:sz w:val="28"/>
          <w:szCs w:val="28"/>
          <w:lang w:val="tt-RU"/>
        </w:rPr>
        <w:t xml:space="preserve">а «, мондый процентлар </w:t>
      </w:r>
      <w:r w:rsidR="00C86590" w:rsidRPr="00C86590">
        <w:rPr>
          <w:rFonts w:eastAsia="SimSun"/>
          <w:sz w:val="28"/>
          <w:szCs w:val="28"/>
          <w:lang w:val="tt-RU"/>
        </w:rPr>
        <w:t xml:space="preserve">инвестиция стадиясендә түләнгән булса һәм мондый </w:t>
      </w:r>
      <w:r w:rsidR="00C86590" w:rsidRPr="00C86590">
        <w:rPr>
          <w:sz w:val="28"/>
          <w:szCs w:val="28"/>
          <w:lang w:val="tt-RU"/>
        </w:rPr>
        <w:t>кредитларга һәм заемнарга, облигация заемнарын да кертеп,</w:t>
      </w:r>
      <w:r w:rsidR="00C86590" w:rsidRPr="00C86590">
        <w:rPr>
          <w:rFonts w:eastAsia="SimSun"/>
          <w:sz w:val="28"/>
          <w:szCs w:val="28"/>
          <w:lang w:val="tt-RU"/>
        </w:rPr>
        <w:t xml:space="preserve"> турыдан-туры дәүләт ярдәме чаралары бирелмәгән булса</w:t>
      </w:r>
      <w:r w:rsidR="00C86590" w:rsidRPr="00C86590">
        <w:rPr>
          <w:sz w:val="28"/>
          <w:szCs w:val="28"/>
          <w:lang w:val="tt-RU"/>
        </w:rPr>
        <w:t>»</w:t>
      </w:r>
      <w:r w:rsidRPr="00B9632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сүзләрен өстәргә</w:t>
      </w:r>
      <w:r w:rsidR="00C86590" w:rsidRPr="00C86590">
        <w:rPr>
          <w:sz w:val="28"/>
          <w:szCs w:val="28"/>
          <w:lang w:val="tt-RU"/>
        </w:rPr>
        <w:t>;</w:t>
      </w:r>
    </w:p>
    <w:p w:rsidR="00C86590" w:rsidRPr="00C86590" w:rsidRDefault="00C86590" w:rsidP="00AB4F4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C86590">
        <w:rPr>
          <w:sz w:val="28"/>
          <w:szCs w:val="28"/>
          <w:lang w:val="tt-RU"/>
        </w:rPr>
        <w:t>б) 3 пунктны түбәндәге редакциядә бәян итәргә:</w:t>
      </w:r>
    </w:p>
    <w:p w:rsidR="00C86590" w:rsidRPr="00C86590" w:rsidRDefault="00C86590" w:rsidP="00AB4F4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C86590">
        <w:rPr>
          <w:sz w:val="28"/>
          <w:szCs w:val="28"/>
          <w:lang w:val="tt-RU"/>
        </w:rPr>
        <w:t xml:space="preserve">«3) </w:t>
      </w:r>
      <w:r w:rsidRPr="00C86590">
        <w:rPr>
          <w:rFonts w:eastAsia="SimSun"/>
          <w:sz w:val="28"/>
          <w:szCs w:val="28"/>
          <w:lang w:val="tt-RU"/>
        </w:rPr>
        <w:t>инвестиция проектының</w:t>
      </w:r>
      <w:r w:rsidRPr="00C86590">
        <w:rPr>
          <w:sz w:val="28"/>
          <w:szCs w:val="28"/>
          <w:lang w:val="tt-RU"/>
        </w:rPr>
        <w:t xml:space="preserve"> төп </w:t>
      </w:r>
      <w:r w:rsidRPr="00C86590">
        <w:rPr>
          <w:rFonts w:eastAsia="SimSun"/>
          <w:sz w:val="28"/>
          <w:szCs w:val="28"/>
          <w:lang w:val="tt-RU"/>
        </w:rPr>
        <w:t>объектын (инвестиция проектының</w:t>
      </w:r>
      <w:r w:rsidRPr="00C86590">
        <w:rPr>
          <w:sz w:val="28"/>
          <w:szCs w:val="28"/>
          <w:lang w:val="tt-RU"/>
        </w:rPr>
        <w:t xml:space="preserve"> төп </w:t>
      </w:r>
      <w:r w:rsidRPr="00C86590">
        <w:rPr>
          <w:rFonts w:eastAsia="SimSun"/>
          <w:sz w:val="28"/>
          <w:szCs w:val="28"/>
          <w:lang w:val="tt-RU"/>
        </w:rPr>
        <w:t xml:space="preserve">объектларын) булдыру (төзү) йә </w:t>
      </w:r>
      <w:r w:rsidRPr="00C86590">
        <w:rPr>
          <w:sz w:val="28"/>
          <w:szCs w:val="28"/>
          <w:lang w:val="tt-RU"/>
        </w:rPr>
        <w:t xml:space="preserve">реконструкцияләү </w:t>
      </w:r>
      <w:r w:rsidRPr="00C86590">
        <w:rPr>
          <w:rFonts w:eastAsia="SimSun"/>
          <w:sz w:val="28"/>
          <w:szCs w:val="28"/>
          <w:lang w:val="tt-RU"/>
        </w:rPr>
        <w:t xml:space="preserve">һәм (яисә) </w:t>
      </w:r>
      <w:r w:rsidRPr="00C86590">
        <w:rPr>
          <w:sz w:val="28"/>
          <w:szCs w:val="28"/>
          <w:lang w:val="tt-RU"/>
        </w:rPr>
        <w:t xml:space="preserve">модернизацияләү өлешендә </w:t>
      </w:r>
      <w:r w:rsidR="00765416" w:rsidRPr="00C86590">
        <w:rPr>
          <w:rFonts w:eastAsia="SimSun"/>
          <w:sz w:val="28"/>
          <w:szCs w:val="28"/>
          <w:lang w:val="tt-RU"/>
        </w:rPr>
        <w:t xml:space="preserve">инвестиция проектын </w:t>
      </w:r>
      <w:r w:rsidRPr="00C86590">
        <w:rPr>
          <w:sz w:val="28"/>
          <w:szCs w:val="28"/>
          <w:lang w:val="tt-RU"/>
        </w:rPr>
        <w:t xml:space="preserve">гамәлгә ашыру </w:t>
      </w:r>
      <w:r w:rsidRPr="00C86590">
        <w:rPr>
          <w:rFonts w:eastAsia="SimSun"/>
          <w:sz w:val="28"/>
          <w:szCs w:val="28"/>
          <w:lang w:val="tt-RU"/>
        </w:rPr>
        <w:t>өчен җәлеп ителгән</w:t>
      </w:r>
      <w:r w:rsidRPr="00C86590">
        <w:rPr>
          <w:sz w:val="28"/>
          <w:szCs w:val="28"/>
          <w:lang w:val="tt-RU"/>
        </w:rPr>
        <w:t xml:space="preserve"> кредитлар һәм заемнар буенча процентларны, облигация заемнары буенча купон керемен түләүгә, мондый процентлар </w:t>
      </w:r>
      <w:r w:rsidRPr="00C86590">
        <w:rPr>
          <w:rFonts w:eastAsia="SimSun"/>
          <w:sz w:val="28"/>
          <w:szCs w:val="28"/>
          <w:lang w:val="tt-RU"/>
        </w:rPr>
        <w:t xml:space="preserve">инвестиция стадиясендә түләнгән булса һәм мондый </w:t>
      </w:r>
      <w:r w:rsidRPr="00C86590">
        <w:rPr>
          <w:sz w:val="28"/>
          <w:szCs w:val="28"/>
          <w:lang w:val="tt-RU"/>
        </w:rPr>
        <w:t>кредитларга һәм заемнарга, облигация заемнарын да кертеп,</w:t>
      </w:r>
      <w:r w:rsidRPr="00C86590">
        <w:rPr>
          <w:rFonts w:eastAsia="SimSun"/>
          <w:sz w:val="28"/>
          <w:szCs w:val="28"/>
          <w:lang w:val="tt-RU"/>
        </w:rPr>
        <w:t xml:space="preserve"> турыдан-туры дәүләт ярдәме чаралары бирелмәгән булса</w:t>
      </w:r>
      <w:r w:rsidR="00B9632A">
        <w:rPr>
          <w:rFonts w:eastAsia="SimSun"/>
          <w:sz w:val="28"/>
          <w:szCs w:val="28"/>
          <w:lang w:val="tt-RU"/>
        </w:rPr>
        <w:t>;</w:t>
      </w:r>
      <w:r w:rsidRPr="00C86590">
        <w:rPr>
          <w:sz w:val="28"/>
          <w:szCs w:val="28"/>
          <w:lang w:val="tt-RU"/>
        </w:rPr>
        <w:t>»;</w:t>
      </w:r>
    </w:p>
    <w:p w:rsidR="00C86590" w:rsidRPr="00C86590" w:rsidRDefault="00C86590" w:rsidP="00AB4F4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C86590" w:rsidRPr="00C86590" w:rsidRDefault="00CF0D36" w:rsidP="00AB4F4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2</w:t>
      </w:r>
      <w:r w:rsidR="00C86590">
        <w:rPr>
          <w:sz w:val="28"/>
          <w:szCs w:val="28"/>
          <w:lang w:val="tt-RU"/>
        </w:rPr>
        <w:t xml:space="preserve">) </w:t>
      </w:r>
      <w:r w:rsidR="00C86590" w:rsidRPr="00C86590">
        <w:rPr>
          <w:sz w:val="28"/>
          <w:szCs w:val="28"/>
          <w:lang w:val="tt-RU"/>
        </w:rPr>
        <w:t>түбәндәге эчтәлекле 1</w:t>
      </w:r>
      <w:r w:rsidR="00C86590" w:rsidRPr="00C86590">
        <w:rPr>
          <w:sz w:val="28"/>
          <w:szCs w:val="28"/>
          <w:vertAlign w:val="superscript"/>
          <w:lang w:val="tt-RU"/>
        </w:rPr>
        <w:t>1</w:t>
      </w:r>
      <w:r w:rsidR="00C86590" w:rsidRPr="00C86590">
        <w:rPr>
          <w:sz w:val="28"/>
          <w:szCs w:val="28"/>
          <w:lang w:val="tt-RU"/>
        </w:rPr>
        <w:t xml:space="preserve"> өлеш өстәргә:</w:t>
      </w:r>
    </w:p>
    <w:p w:rsidR="00CF0D36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«1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. Әлеге статьяның 1 өлешендә күрсәтелгән </w:t>
      </w:r>
      <w:r w:rsidRPr="00C86590">
        <w:rPr>
          <w:rFonts w:ascii="Times New Roman" w:eastAsia="SimSun" w:hAnsi="Times New Roman" w:cs="Times New Roman"/>
          <w:sz w:val="28"/>
          <w:szCs w:val="28"/>
          <w:lang w:val="tt-RU"/>
        </w:rPr>
        <w:t>дәүләт ярдәме чаралары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устав (җыелма) капиталында чит ил юридик затларының, </w:t>
      </w:r>
      <w:r w:rsidR="00012213" w:rsidRPr="00A82BBE">
        <w:rPr>
          <w:rFonts w:ascii="Times New Roman" w:hAnsi="Times New Roman" w:cs="Times New Roman"/>
          <w:sz w:val="28"/>
          <w:szCs w:val="28"/>
          <w:lang w:val="tt-RU"/>
        </w:rPr>
        <w:t>шул исәптән теркәлү урыны Россия Федерациясендә активлар</w:t>
      </w:r>
      <w:r w:rsidR="00204C62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012213" w:rsidRPr="00A82BBE">
        <w:rPr>
          <w:rFonts w:ascii="Times New Roman" w:hAnsi="Times New Roman" w:cs="Times New Roman"/>
          <w:sz w:val="28"/>
          <w:szCs w:val="28"/>
          <w:lang w:val="tt-RU"/>
        </w:rPr>
        <w:t xml:space="preserve"> арадаш (офшор) </w:t>
      </w:r>
      <w:r w:rsidR="006453A5">
        <w:rPr>
          <w:rFonts w:ascii="Times New Roman" w:hAnsi="Times New Roman" w:cs="Times New Roman"/>
          <w:sz w:val="28"/>
          <w:szCs w:val="28"/>
          <w:lang w:val="tt-RU"/>
        </w:rPr>
        <w:t>ия булу</w:t>
      </w:r>
      <w:r w:rsidR="00012213" w:rsidRPr="00A82BBE">
        <w:rPr>
          <w:rFonts w:ascii="Times New Roman" w:hAnsi="Times New Roman" w:cs="Times New Roman"/>
          <w:sz w:val="28"/>
          <w:szCs w:val="28"/>
          <w:lang w:val="tt-RU"/>
        </w:rPr>
        <w:t xml:space="preserve"> өчен файдаланыла торган дәүләтләрнең һәм территорияләрнең </w:t>
      </w:r>
      <w:r w:rsidR="00E64592" w:rsidRPr="00A82BBE">
        <w:rPr>
          <w:rFonts w:ascii="Times New Roman" w:hAnsi="Times New Roman" w:cs="Times New Roman"/>
          <w:sz w:val="28"/>
          <w:szCs w:val="28"/>
          <w:lang w:val="tt-RU"/>
        </w:rPr>
        <w:t>(офшор компанияләрнең)</w:t>
      </w:r>
      <w:r w:rsidR="00E6459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12213" w:rsidRPr="00A82BBE">
        <w:rPr>
          <w:rFonts w:ascii="Times New Roman" w:hAnsi="Times New Roman" w:cs="Times New Roman"/>
          <w:sz w:val="28"/>
          <w:szCs w:val="28"/>
          <w:lang w:val="tt-RU"/>
        </w:rPr>
        <w:t>Россия Федерациясе Финанс министрлыгы тарафыннан раслана торган исемлегенә кертелгән дәүләт яисә территория булганнарның,</w:t>
      </w:r>
      <w:r w:rsidR="00AB4F48">
        <w:rPr>
          <w:rFonts w:ascii="Times New Roman" w:hAnsi="Times New Roman"/>
          <w:color w:val="FF0000"/>
          <w:sz w:val="28"/>
          <w:szCs w:val="28"/>
          <w:lang w:val="tt-RU"/>
        </w:rPr>
        <w:t xml:space="preserve"> </w:t>
      </w:r>
      <w:r w:rsidRPr="00C86590">
        <w:rPr>
          <w:rFonts w:ascii="Times New Roman" w:eastAsia="YS Text" w:hAnsi="Times New Roman" w:cs="Times New Roman"/>
          <w:sz w:val="28"/>
          <w:szCs w:val="28"/>
          <w:shd w:val="clear" w:color="auto" w:fill="FFFFFF"/>
          <w:lang w:val="tt-RU" w:eastAsia="zh-CN"/>
        </w:rPr>
        <w:t xml:space="preserve">турыдан-туры яисә читләтеп (өченче затлар аркылы) катнашу өлеше барлыгы 25 проценттан артык булган Россия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юридик затларына бирелми.»;</w:t>
      </w:r>
    </w:p>
    <w:p w:rsidR="00CF0D36" w:rsidRDefault="00CF0D36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F0D36" w:rsidRDefault="00CF0D36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0D36"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="00C86590" w:rsidRPr="00CF0D36">
        <w:rPr>
          <w:rFonts w:ascii="Times New Roman" w:hAnsi="Times New Roman" w:cs="Times New Roman"/>
          <w:sz w:val="28"/>
          <w:szCs w:val="28"/>
          <w:lang w:val="tt-RU"/>
        </w:rPr>
        <w:t>3 өлешнең беренче абзацын түбәндәге редакциядә бәян итәргә:</w:t>
      </w:r>
    </w:p>
    <w:p w:rsidR="00477522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«3. 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Инвестиция проекты</w:t>
      </w:r>
      <w:r w:rsidR="00DF44D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 </w:t>
      </w:r>
      <w:r w:rsidR="00A41074" w:rsidRPr="004448B9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аның төп объекты (төп объектлары) буларак </w:t>
      </w:r>
      <w:r w:rsidR="00B04236" w:rsidRPr="004448B9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транспорт, энергетика инфраструктурасы объектын, коммуналь, социаль яисә цифрлы инфраструктура объектын булдыруны (төзүне) йә реконструкцияләүне һәм (яисә) модернизацияләүне </w:t>
      </w:r>
      <w:r w:rsidRPr="004448B9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күздә тот</w:t>
      </w:r>
      <w:r w:rsidR="00B04236" w:rsidRPr="004448B9">
        <w:rPr>
          <w:rFonts w:ascii="Times New Roman" w:eastAsia="SimSun" w:hAnsi="Times New Roman" w:cs="Times New Roman"/>
          <w:bCs/>
          <w:sz w:val="28"/>
          <w:szCs w:val="28"/>
          <w:lang w:val="tt-RU"/>
        </w:rPr>
        <w:t>с</w:t>
      </w:r>
      <w:r w:rsidRPr="004448B9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а, мондый инвестиция проектына карата, бу объекттан </w:t>
      </w:r>
      <w:r w:rsidRPr="004448B9">
        <w:rPr>
          <w:rFonts w:ascii="Times New Roman" w:hAnsi="Times New Roman" w:cs="Times New Roman"/>
          <w:sz w:val="28"/>
          <w:szCs w:val="28"/>
          <w:lang w:val="tt-RU"/>
        </w:rPr>
        <w:t xml:space="preserve">физик яисә юридик затларга </w:t>
      </w:r>
      <w:r w:rsidRPr="004448B9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аннан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 түләүле файдалана алу мөмкинлеген бирү рәвешендә файдаланудан еллык керем проектны гамәлгә ашыручы оешманың «Россия Федерациясендә капитал салуларны яклау һәм кызыксындыру турында» Федераль законның 15 статьясындагы 6 һәм 7 өлешләре нигезендә билгеләнә торган чыгымнарны каплау срогы дәвамында инвестиция проектын </w:t>
      </w:r>
      <w:r w:rsidR="00477522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башкар</w:t>
      </w:r>
      <w:r w:rsidR="00477522" w:rsidRPr="00477522">
        <w:rPr>
          <w:rFonts w:ascii="Times New Roman" w:eastAsia="SimSun" w:hAnsi="Times New Roman" w:cs="Times New Roman"/>
          <w:bCs/>
          <w:sz w:val="28"/>
          <w:szCs w:val="28"/>
          <w:lang w:val="tt-RU"/>
        </w:rPr>
        <w:t>уга</w:t>
      </w:r>
      <w:r w:rsidR="00477522" w:rsidRPr="003E2BF0"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бәйле рәвештә алган гомуми </w:t>
      </w:r>
      <w:r w:rsidRPr="004C3CF1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керем</w:t>
      </w:r>
      <w:r w:rsidR="004C3CF1" w:rsidRPr="004C3CF1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ен</w:t>
      </w:r>
      <w:r w:rsidRPr="004C3CF1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нән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кимендә 80 процентын 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>тәшкил итсә, түбәндәге чыгымнар каплана: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477522" w:rsidRDefault="00477522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477522" w:rsidRDefault="00477522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77522">
        <w:rPr>
          <w:rFonts w:ascii="Times New Roman" w:hAnsi="Times New Roman" w:cs="Times New Roman"/>
          <w:sz w:val="28"/>
          <w:szCs w:val="28"/>
          <w:lang w:val="tt-RU"/>
        </w:rPr>
        <w:t xml:space="preserve">4) </w:t>
      </w:r>
      <w:r w:rsidR="00C86590" w:rsidRPr="00477522">
        <w:rPr>
          <w:rFonts w:ascii="Times New Roman" w:hAnsi="Times New Roman" w:cs="Times New Roman"/>
          <w:sz w:val="28"/>
          <w:szCs w:val="28"/>
          <w:lang w:val="tt-RU"/>
        </w:rPr>
        <w:t>түбәндәге эчтәлекле 4</w:t>
      </w:r>
      <w:r w:rsidR="00C86590" w:rsidRPr="00477522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C86590" w:rsidRPr="00477522">
        <w:rPr>
          <w:rFonts w:ascii="Times New Roman" w:hAnsi="Times New Roman" w:cs="Times New Roman"/>
          <w:sz w:val="28"/>
          <w:szCs w:val="28"/>
          <w:lang w:val="tt-RU"/>
        </w:rPr>
        <w:t xml:space="preserve"> өлеш өстәргә:</w:t>
      </w:r>
    </w:p>
    <w:p w:rsidR="00477522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val="tt-RU"/>
        </w:rPr>
      </w:pP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>«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. Әлеге статьяның 2 өлешендә күрсәтелгән субсидия һәм әлеге статьяның 1 өлешендә күрсәтелгән түләнгән салымны кайтару 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>«Россия Федерациясендә капитал салуларны яклау һәм кызыксындыру турында» Федераль законның 15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>статьясындагы 8</w:t>
      </w:r>
      <w:r w:rsidRPr="00C86590">
        <w:rPr>
          <w:rFonts w:ascii="Times New Roman" w:eastAsia="SimSun" w:hAnsi="Times New Roman" w:cs="Times New Roman"/>
          <w:bCs/>
          <w:sz w:val="28"/>
          <w:szCs w:val="28"/>
          <w:vertAlign w:val="superscript"/>
          <w:lang w:val="tt-RU"/>
        </w:rPr>
        <w:t>1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 һәм 8</w:t>
      </w:r>
      <w:r w:rsidRPr="00C86590">
        <w:rPr>
          <w:rFonts w:ascii="Times New Roman" w:eastAsia="SimSun" w:hAnsi="Times New Roman" w:cs="Times New Roman"/>
          <w:bCs/>
          <w:sz w:val="28"/>
          <w:szCs w:val="28"/>
          <w:vertAlign w:val="superscript"/>
          <w:lang w:val="tt-RU"/>
        </w:rPr>
        <w:t>2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 өлешләре нигезендә бирелә.»;</w:t>
      </w:r>
    </w:p>
    <w:p w:rsidR="00477522" w:rsidRDefault="00477522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val="tt-RU"/>
        </w:rPr>
      </w:pPr>
    </w:p>
    <w:p w:rsidR="00C86590" w:rsidRPr="00477522" w:rsidRDefault="00477522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val="tt-RU"/>
        </w:rPr>
      </w:pPr>
      <w:r w:rsidRPr="00477522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5) </w:t>
      </w:r>
      <w:r w:rsidR="00C86590" w:rsidRPr="00477522">
        <w:rPr>
          <w:rFonts w:ascii="Times New Roman" w:eastAsia="SimSun" w:hAnsi="Times New Roman" w:cs="Times New Roman"/>
          <w:bCs/>
          <w:sz w:val="28"/>
          <w:szCs w:val="28"/>
          <w:lang w:val="tt-RU"/>
        </w:rPr>
        <w:t>5 өлештә: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val="tt-RU"/>
        </w:rPr>
      </w:pP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а) 1 һәм 2 пунктларны түбәндәге редакциядә бәян итәргә: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val="tt-RU"/>
        </w:rPr>
      </w:pP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«1) инвестиция проектын гамәлгә ашыру кысаларында барлыкка килгән һәм дәүләт теркәвенә алынырга тиешле барлык мөлкәти хокуклар Россия Федерациясе законнары нигезендә теркәлгән, шул исәптән интеллектуаль эшчәнлек нәтиҗәләре һәм (яисә) аларга тиңләштерелгән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индивидуальләштерү чаралары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 (кулланып булган очракта) дәүләт теркәвенә алынган, һәм, әгәр инвестиция проекты, шул исәптән инвестиция проектын гамәлгә ашыруның аерым этабы, күчемсез мөлкәт объектларын булдыруны (төзүне) йә реконструкцияләүне күздә тотса</w:t>
      </w:r>
      <w:r w:rsidRPr="002C4308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, </w:t>
      </w:r>
      <w:r w:rsidR="00634B4C" w:rsidRPr="002C4308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барлык күчемсез мөлкәт объектлары </w:t>
      </w:r>
      <w:r w:rsidRPr="002C4308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булдырылган (төзелгән) йә реконструкцияләнгән һәм Россия Федерациясе законнары нигезендә капитал салуларны яклау</w:t>
      </w:r>
      <w:r w:rsidRPr="00C86590">
        <w:rPr>
          <w:rFonts w:ascii="Times New Roman" w:eastAsia="SimSun" w:hAnsi="Times New Roman" w:cs="Times New Roman"/>
          <w:bCs/>
          <w:sz w:val="28"/>
          <w:szCs w:val="28"/>
          <w:lang w:val="tt-RU"/>
        </w:rPr>
        <w:t xml:space="preserve"> һәм кызыксындыру турындагы килешүгә таянып билгеләнә торган срокларда файдалануга тапшырылган булса;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2) проектны гамәлгә ашыручы оешманың 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салымнар һәм җыемнар турында Россия Федерациясе законнары нигезендә түләнергә тиешле салымнар, җыемнар, 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иминият кертемнәре, пенялар, штрафлар, процентлар, читтән кертелүче таможня пошлиналарын түләү буенча үтәлмәгән бурычы </w:t>
      </w:r>
      <w:r w:rsidR="00DF44D0">
        <w:rPr>
          <w:rFonts w:ascii="Times New Roman" w:eastAsia="Times New Roman" w:hAnsi="Times New Roman" w:cs="Times New Roman"/>
          <w:sz w:val="28"/>
          <w:szCs w:val="28"/>
          <w:lang w:val="tt-RU"/>
        </w:rPr>
        <w:t>булмаса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/>
        </w:rPr>
        <w:t>;»;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б) 6 пунктта «инвестиция проекты» сүзләрен «үзләренә карата чыгымнар әлеге статья нигезендә капланырга тиешле булган инвестиция проекты» сүзләренә алмаштырырга;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590">
        <w:rPr>
          <w:rFonts w:ascii="Times New Roman" w:hAnsi="Times New Roman" w:cs="Times New Roman"/>
          <w:sz w:val="28"/>
          <w:szCs w:val="28"/>
        </w:rPr>
        <w:t xml:space="preserve">в) 7 пунктны түбәндәге редакциядә бәян </w:t>
      </w:r>
      <w:proofErr w:type="gramStart"/>
      <w:r w:rsidRPr="00C86590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C86590">
        <w:rPr>
          <w:rFonts w:ascii="Times New Roman" w:hAnsi="Times New Roman" w:cs="Times New Roman"/>
          <w:sz w:val="28"/>
          <w:szCs w:val="28"/>
        </w:rPr>
        <w:t>әргә:</w:t>
      </w:r>
    </w:p>
    <w:p w:rsidR="00C86590" w:rsidRPr="00C86590" w:rsidRDefault="00C86590" w:rsidP="00AB4F48">
      <w:pPr>
        <w:pStyle w:val="ConsPlusTitle"/>
        <w:widowControl/>
        <w:tabs>
          <w:tab w:val="left" w:pos="312"/>
          <w:tab w:val="left" w:pos="6420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val="tt-RU"/>
        </w:rPr>
      </w:pPr>
      <w:proofErr w:type="gramStart"/>
      <w:r w:rsidRPr="00C86590">
        <w:rPr>
          <w:rFonts w:ascii="Times New Roman" w:hAnsi="Times New Roman" w:cs="Times New Roman"/>
          <w:b w:val="0"/>
          <w:sz w:val="28"/>
          <w:szCs w:val="28"/>
        </w:rPr>
        <w:t>«7)</w:t>
      </w:r>
      <w:r w:rsidRPr="00C86590">
        <w:rPr>
          <w:rFonts w:ascii="Times New Roman" w:hAnsi="Times New Roman" w:cs="Times New Roman"/>
          <w:sz w:val="28"/>
          <w:szCs w:val="28"/>
        </w:rPr>
        <w:t xml:space="preserve"> </w:t>
      </w:r>
      <w:r w:rsidR="00012213" w:rsidRPr="00C86590"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  <w:t xml:space="preserve">үзләренә карата чыгымнар әлеге </w:t>
      </w:r>
      <w:r w:rsidR="00012213"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статьяның 1 өлешендәге 1 – 3 пунктлары</w:t>
      </w:r>
      <w:r w:rsidR="00012213" w:rsidRPr="00C86590"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  <w:t xml:space="preserve"> нигезендә капланырга тиешле булган </w:t>
      </w:r>
      <w:r w:rsidR="009E7CD0"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инвестиция проекты кысаларында булдырылган (төзелгән) йә реконструкцияләнгән күчемсез мөлкәт объектларына </w:t>
      </w:r>
      <w:r w:rsidR="009E7CD0" w:rsidRPr="00C86590"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  <w:t xml:space="preserve">һәм </w:t>
      </w:r>
      <w:r w:rsidR="009E7CD0" w:rsidRPr="00C86590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>линия объектларына</w:t>
      </w:r>
      <w:r w:rsidR="009E7CD0" w:rsidRPr="00C86590"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  <w:t xml:space="preserve"> </w:t>
      </w:r>
      <w:r w:rsidR="009E7CD0"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технологик аудит уздыру турында уңай бәяләмә 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проект документациясенә һәм инженерлык эзләнүләре нәтиҗәләренә дәүл</w:t>
      </w:r>
      <w:proofErr w:type="gramEnd"/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әт экспертизасын үткәрүгә вәкаләтле төзелеш өлкәсендә дәүләт сәясәтен эшләү һәм гамәлгә ашыру һәм норматив-хокукый җайга салу функцияләрен башкаручы </w:t>
      </w:r>
      <w:r w:rsidR="003909AB"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федераль башкарма хакимият</w:t>
      </w:r>
      <w:r w:rsidR="003909A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органы буйсынуындагы дәүләт (бюджет яисә автоном) учреждениесе тарафыннан </w:t>
      </w:r>
      <w:r w:rsidR="009E7CD0"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Россия Федерациясе Хөкүмәте билгеләгән тәртиптә 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бирелгән булса;»;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г) түбәндәге эчтәлекле 7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2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«7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2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) «Россия Федерациясендә капитал салуларны яклау һәм кызыксындыру турында» Федераль законның 4 статьясындагы 1 өлешенең 7 пункты нигезендә раслана торган чыгымнарны каплау тәртибе</w:t>
      </w:r>
      <w:r w:rsidR="003909AB">
        <w:rPr>
          <w:rFonts w:ascii="Times New Roman" w:hAnsi="Times New Roman" w:cs="Times New Roman"/>
          <w:sz w:val="28"/>
          <w:szCs w:val="28"/>
          <w:lang w:val="tt-RU"/>
        </w:rPr>
        <w:t xml:space="preserve"> белән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09AB" w:rsidRPr="00C86590">
        <w:rPr>
          <w:rFonts w:ascii="Times New Roman" w:hAnsi="Times New Roman" w:cs="Times New Roman"/>
          <w:sz w:val="28"/>
          <w:szCs w:val="28"/>
          <w:lang w:val="tt-RU"/>
        </w:rPr>
        <w:t>каралган әлеге статьяның 1</w:t>
      </w:r>
      <w:r w:rsidR="00AB4F48" w:rsidRPr="00C8659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3909AB"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өлешендә күрсәтелгән фактта тотылган чыгымнар турында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Федераль казначылык бәяләмәсе бирелгән булса;»;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д) 9 пунктта «турыдан-туры дәүләт финанс ярдәменең башка чаралары» сүзләрен «турыдан-туры дәүләт ярдәме чаралары» сүзләренә алмаштырырга, «турыдан-туры дәүләт финанс ярдәменең бирелгән башка чараларын» сүзләрен «турыдан-туры дәүләт ярдәменең бирелгән чараларын» сүзләренә алмаштырырга;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е) түбәндәге эчтәлекле 11 һәм 12 пунктлар өстәргә: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«11) проектны гамәлгә ашыручы оешма капитал салуларны яклау һәм кызыксындыру турындагы килешү нигезендә билгеләнә торган күләмдә һәм срокларда капитал салуларны гамәлгә ашыр</w:t>
      </w:r>
      <w:r w:rsidR="00C31ED8">
        <w:rPr>
          <w:rFonts w:ascii="Times New Roman" w:hAnsi="Times New Roman" w:cs="Times New Roman"/>
          <w:sz w:val="28"/>
          <w:szCs w:val="28"/>
          <w:lang w:val="tt-RU"/>
        </w:rPr>
        <w:t>са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12) капитал салуларны яклау һәм кызыксындыру турындагы килешүдә каралган инвестиция проектын, шул исәптән инвестиция проектын гамәлгә ашыруның аерым этапларын</w:t>
      </w:r>
      <w:r w:rsidR="00C31ED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гамәлгә ашыру буенча барлык чаралар капитал салуларны яклау һәм кызыксындыру турындагы килешү нигезендә билгеләнә торган срокларда </w:t>
      </w:r>
      <w:r w:rsidR="00C31ED8">
        <w:rPr>
          <w:rFonts w:ascii="Times New Roman" w:hAnsi="Times New Roman" w:cs="Times New Roman"/>
          <w:sz w:val="28"/>
          <w:szCs w:val="28"/>
          <w:lang w:val="tt-RU"/>
        </w:rPr>
        <w:t xml:space="preserve">башкарылса </w:t>
      </w:r>
      <w:r w:rsidR="00C31ED8" w:rsidRPr="00C86590">
        <w:rPr>
          <w:rFonts w:ascii="Times New Roman" w:hAnsi="Times New Roman" w:cs="Times New Roman"/>
          <w:sz w:val="28"/>
          <w:szCs w:val="28"/>
          <w:lang w:val="tt-RU"/>
        </w:rPr>
        <w:t>(инвестиция проектын, шул исәптән аерым этапларны</w:t>
      </w:r>
      <w:r w:rsidR="00C31ED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31ED8"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гамәлгә ашыру кысаларында юридик фактлар </w:t>
      </w:r>
      <w:r w:rsidR="001B3CCD">
        <w:rPr>
          <w:rFonts w:ascii="Times New Roman" w:hAnsi="Times New Roman" w:cs="Times New Roman"/>
          <w:sz w:val="28"/>
          <w:szCs w:val="28"/>
          <w:lang w:val="tt-RU"/>
        </w:rPr>
        <w:t>барлыкка кил</w:t>
      </w:r>
      <w:r w:rsidR="00A41074">
        <w:rPr>
          <w:rFonts w:ascii="Times New Roman" w:hAnsi="Times New Roman" w:cs="Times New Roman"/>
          <w:sz w:val="28"/>
          <w:szCs w:val="28"/>
          <w:lang w:val="tt-RU"/>
        </w:rPr>
        <w:t>гәндә</w:t>
      </w:r>
      <w:r w:rsidR="00C31ED8" w:rsidRPr="00C86590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.»;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6) 6 өлешнең беренче абзацында «чыгымнарны каплау»  сүзләреннән соң «шул исәптән» сүзләрен өстәргә, «гамәлгә ашырылырга мөмкин» сүзләреннән соң «,</w:t>
      </w:r>
      <w:r w:rsidRPr="00C8659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 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әгәр мондый этапларның барлык чаралары капитал салуларны яклау һәм кызыксындыру турындагы килешү</w:t>
      </w:r>
      <w:r w:rsidR="00182053">
        <w:rPr>
          <w:rFonts w:ascii="Times New Roman" w:hAnsi="Times New Roman" w:cs="Times New Roman"/>
          <w:sz w:val="28"/>
          <w:szCs w:val="28"/>
          <w:lang w:val="tt-RU"/>
        </w:rPr>
        <w:t xml:space="preserve"> нигезен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дә билгеләнә торган срокларда гамәлгә ашырылса (мондый этаплар кысаларында юридик фактлар </w:t>
      </w:r>
      <w:r w:rsidR="001B3CCD">
        <w:rPr>
          <w:rFonts w:ascii="Times New Roman" w:hAnsi="Times New Roman" w:cs="Times New Roman"/>
          <w:sz w:val="28"/>
          <w:szCs w:val="28"/>
          <w:lang w:val="tt-RU"/>
        </w:rPr>
        <w:t>барлыкка кил</w:t>
      </w:r>
      <w:r w:rsidR="00A41074">
        <w:rPr>
          <w:rFonts w:ascii="Times New Roman" w:hAnsi="Times New Roman" w:cs="Times New Roman"/>
          <w:sz w:val="28"/>
          <w:szCs w:val="28"/>
          <w:lang w:val="tt-RU"/>
        </w:rPr>
        <w:t>гәндә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)» сүзләрен өстәргә;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7) 7 өлештә «әлеге статьяның 5 өлешендәге 2, 3, 5 – 8 пунктларында каралган шартлар үтәлгән» сүзләреннән соң «, шулай ук капитал салуларны яклау һәм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lastRenderedPageBreak/>
        <w:t>кызыксындыру турындагы килешү</w:t>
      </w:r>
      <w:r w:rsidR="004C1CC7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билгеләнә торган капитал салуларның күләме һәм сроклары үтәлгән» сүзләрен өстәргә;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8) 10 өлешне түбәндәге редакциядә бәян итәргә:</w:t>
      </w:r>
    </w:p>
    <w:p w:rsidR="00C86590" w:rsidRPr="00C86590" w:rsidRDefault="00C86590" w:rsidP="00AB4F48">
      <w:pPr>
        <w:pStyle w:val="ConsPlusTitle"/>
        <w:widowControl/>
        <w:tabs>
          <w:tab w:val="left" w:pos="312"/>
          <w:tab w:val="left" w:pos="6420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Pr="00C86590"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  <w:t>10. 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Проектны гамәлгә ашыручы оешма чыгымнарны каплау максатларында Татарстан Республикасы Министрлар Кабинеты тарафыннан вәкаләт бирелгән Татарстан Республикасы башкарма хакимияте органына әлеге статьяның 5 өлешендәге 5 – 7 пунктларында каралган чыгымнарны каплау күләмен исәпләүне, </w:t>
      </w:r>
      <w:r w:rsidR="00012213"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үзләренә карата чыгымнар әлеге статья нигезендә капланырга тиешле булган 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инвестиция проекты кысаларында булдырылырга (төзелергә) йә реконструкцияләнергә тиеш күчемсез мөлкәт (капиталь төзелеш) объектларының һәм линия объектларының проект документациясенә һәм аларның смета бәясен билгеләүнең дөреслеген тикшерүгә дәүләт экспертизасы уздыру хакында</w:t>
      </w:r>
      <w:r w:rsidR="003C4A72">
        <w:rPr>
          <w:rFonts w:ascii="Times New Roman" w:hAnsi="Times New Roman" w:cs="Times New Roman"/>
          <w:b w:val="0"/>
          <w:sz w:val="28"/>
          <w:szCs w:val="28"/>
          <w:lang w:val="tt-RU"/>
        </w:rPr>
        <w:t>гы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уңай бәяләмәне, технологик аудит уздыру турында уңай бәяләмәне, шулай ук </w:t>
      </w:r>
      <w:r w:rsidR="004C1CC7"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исемлеге һәм составы 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«Россия Федерациясендә капитал салуларны яклау һәм кызыксындыру турында» Федераль законның 4 статьясындагы 1 өлешенең 7 пункты нигезендә раслана торган чыгымнарны каплау тәртибе</w:t>
      </w:r>
      <w:r w:rsidR="00B0407A">
        <w:rPr>
          <w:rFonts w:ascii="Times New Roman" w:hAnsi="Times New Roman" w:cs="Times New Roman"/>
          <w:b w:val="0"/>
          <w:sz w:val="28"/>
          <w:szCs w:val="28"/>
          <w:lang w:val="tt-RU"/>
        </w:rPr>
        <w:t>ндә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билгеләнә</w:t>
      </w:r>
      <w:r w:rsidRPr="00C86590"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  <w:t xml:space="preserve"> торган башка документларны җибәрә.</w:t>
      </w:r>
      <w:r w:rsidRPr="00C86590">
        <w:rPr>
          <w:rFonts w:ascii="Times New Roman" w:hAnsi="Times New Roman" w:cs="Times New Roman"/>
          <w:b w:val="0"/>
          <w:sz w:val="28"/>
          <w:szCs w:val="28"/>
          <w:lang w:val="tt-RU"/>
        </w:rPr>
        <w:t>»;</w:t>
      </w:r>
    </w:p>
    <w:p w:rsidR="00B0407A" w:rsidRDefault="00B0407A" w:rsidP="00AB4F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9) 16 өлештә «дәүләт ярдәме чарасы күләменнән тыш» сүзләрен «дәүләт ярдәме чарасы күләмен дә кертеп» сүзләренә алмаштырырга.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8659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2 </w:t>
      </w:r>
      <w:r w:rsidRPr="00C865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статья 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86590" w:rsidRPr="00C86590" w:rsidRDefault="00C86590" w:rsidP="00AB4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C865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Татарстан Республикасында инвестиция эшчәнлеге турында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C86590">
        <w:rPr>
          <w:rFonts w:ascii="Times New Roman" w:hAnsi="Times New Roman" w:cs="Times New Roman"/>
          <w:b/>
          <w:noProof/>
          <w:snapToGrid w:val="0"/>
          <w:sz w:val="28"/>
          <w:szCs w:val="28"/>
          <w:lang w:val="tt-RU"/>
        </w:rPr>
        <w:t xml:space="preserve"> </w:t>
      </w:r>
      <w:r w:rsidRPr="00C865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Законына үзгәрешләр кертү хакында» 2022 елның 4 октябрендәге 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C865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 xml:space="preserve"> 64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-ТРЗ </w:t>
      </w:r>
      <w:r w:rsidRPr="00C86590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номерлы Татарстан Республикасы</w:t>
      </w:r>
      <w:r w:rsidRPr="00C86590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tt-RU"/>
        </w:rPr>
        <w:t xml:space="preserve"> Законының 2 статьясындагы 2</w:t>
      </w:r>
      <w:r w:rsidRPr="00C86590">
        <w:rPr>
          <w:rFonts w:ascii="Times New Roman" w:eastAsia="Tahoma" w:hAnsi="Times New Roman" w:cs="Times New Roman"/>
          <w:sz w:val="28"/>
          <w:szCs w:val="28"/>
          <w:shd w:val="clear" w:color="auto" w:fill="FFFFFF"/>
          <w:vertAlign w:val="superscript"/>
          <w:lang w:val="tt-RU"/>
        </w:rPr>
        <w:t>1</w:t>
      </w:r>
      <w:r w:rsidRPr="00C86590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tt-RU"/>
        </w:rPr>
        <w:t xml:space="preserve"> өлешенә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(Татарстан Республикасы законнар җыелмасы, 2022, № 77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); 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2023, № 20 (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I</w:t>
      </w:r>
      <w:r w:rsidRPr="00C8659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 </w:t>
      </w:r>
      <w:r w:rsidRPr="00C86590">
        <w:rPr>
          <w:rFonts w:ascii="Times New Roman" w:hAnsi="Times New Roman" w:cs="Times New Roman"/>
          <w:sz w:val="28"/>
          <w:szCs w:val="28"/>
          <w:lang w:val="tt-RU" w:eastAsia="ru-RU"/>
        </w:rPr>
        <w:t>өлеш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), «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2021 елның 1 апреленә кадәр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 сүзләрен «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2021 елның 1 апреленә кадәр, бу датаны да кер</w:t>
      </w:r>
      <w:r w:rsidRPr="00C865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теп» сүзләренә алмаштырып,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үзгәреш кертергә.</w:t>
      </w:r>
    </w:p>
    <w:p w:rsidR="00C86590" w:rsidRPr="00C86590" w:rsidRDefault="00C86590" w:rsidP="00AB4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86590" w:rsidRDefault="00C86590" w:rsidP="00AB4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3 статья </w:t>
      </w:r>
    </w:p>
    <w:p w:rsidR="00C86590" w:rsidRPr="00C86590" w:rsidRDefault="00C86590" w:rsidP="00AB4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1. Әлеге Закон, әлеге Законның 2 статьясыннан тыш, 2025 елның 1 июленнән үз көченә керә.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2. Әлеге Законның 2 статьясы әлеге Законның рәсми басылып чыккан көненнән үз көченә керә.</w:t>
      </w:r>
    </w:p>
    <w:p w:rsidR="00C86590" w:rsidRPr="00C86590" w:rsidRDefault="00C86590" w:rsidP="00AB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>3. «Татарстан Республикасында инвестиция эшчәнлеге турында» 1998 елның 25 ноябрендәге 1872 номерлы Татарстан Республикасы Законының 9 статьясындагы 1, 1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, 3, 4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өлешләре, 5 өлешенең 1, 2, 6, 7, 7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2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һәм 9 пунктлары, 10 һәм 16 өлешләре (әлеге Закон редакциясендә), «Татарстан Республикасында инвестиция эшчәнлеге турында» Татарстан Республикасы Законына үзгәрешләр кертү хакында» 2022</w:t>
      </w:r>
      <w:r w:rsidRPr="00C8659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 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елның 4 октябрендәге 64-ТРЗ номерлы Татарстан Республикасы Законының 2</w:t>
      </w:r>
      <w:r w:rsidRPr="00C8659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 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статьясындагы 2</w:t>
      </w:r>
      <w:r w:rsidRPr="00C8659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өлеше (әлеге Закон редакциясендә) нигезләмәләренең гамәлдә булуы әлеге Закон үз көченә кергән көнгә кадәр төзелгән капитал салуларны яклау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lastRenderedPageBreak/>
        <w:t>һәм кызыксындыру турындагы килешүләрдән барлыкка килгән хокук мөнәсәбәтләренә кагыла.</w:t>
      </w:r>
    </w:p>
    <w:p w:rsidR="00327F90" w:rsidRPr="00C86590" w:rsidRDefault="00327F90" w:rsidP="00C86590">
      <w:pPr>
        <w:pStyle w:val="ConsPlusNormal"/>
        <w:tabs>
          <w:tab w:val="left" w:pos="709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6590" w:rsidRPr="00C86590" w:rsidRDefault="00C86590" w:rsidP="00C86590">
      <w:pPr>
        <w:pStyle w:val="ConsPlusNormal"/>
        <w:tabs>
          <w:tab w:val="left" w:pos="709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C86590" w:rsidRDefault="007A74BA" w:rsidP="00C86590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6590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C86590" w:rsidRDefault="007A74BA" w:rsidP="00C865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C86590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C86590">
        <w:rPr>
          <w:rFonts w:ascii="Times New Roman" w:hAnsi="Times New Roman" w:cs="Times New Roman"/>
          <w:sz w:val="28"/>
          <w:szCs w:val="28"/>
        </w:rPr>
        <w:tab/>
      </w:r>
      <w:r w:rsidRPr="00C86590">
        <w:rPr>
          <w:rFonts w:ascii="Times New Roman" w:hAnsi="Times New Roman" w:cs="Times New Roman"/>
          <w:sz w:val="28"/>
          <w:szCs w:val="28"/>
        </w:rPr>
        <w:tab/>
      </w:r>
      <w:r w:rsidRPr="00C86590">
        <w:rPr>
          <w:rFonts w:ascii="Times New Roman" w:hAnsi="Times New Roman" w:cs="Times New Roman"/>
          <w:sz w:val="28"/>
          <w:szCs w:val="28"/>
        </w:rPr>
        <w:tab/>
      </w:r>
      <w:r w:rsidRPr="00C86590">
        <w:rPr>
          <w:rFonts w:ascii="Times New Roman" w:hAnsi="Times New Roman" w:cs="Times New Roman"/>
          <w:sz w:val="28"/>
          <w:szCs w:val="28"/>
        </w:rPr>
        <w:tab/>
      </w:r>
      <w:r w:rsidRPr="00C86590">
        <w:rPr>
          <w:rFonts w:ascii="Times New Roman" w:hAnsi="Times New Roman" w:cs="Times New Roman"/>
          <w:sz w:val="28"/>
          <w:szCs w:val="28"/>
        </w:rPr>
        <w:tab/>
      </w:r>
      <w:r w:rsidRPr="00C86590">
        <w:rPr>
          <w:rFonts w:ascii="Times New Roman" w:hAnsi="Times New Roman" w:cs="Times New Roman"/>
          <w:sz w:val="28"/>
          <w:szCs w:val="28"/>
        </w:rPr>
        <w:tab/>
      </w:r>
      <w:r w:rsidRPr="00C86590">
        <w:rPr>
          <w:rFonts w:ascii="Times New Roman" w:hAnsi="Times New Roman" w:cs="Times New Roman"/>
          <w:sz w:val="28"/>
          <w:szCs w:val="28"/>
        </w:rPr>
        <w:tab/>
      </w:r>
      <w:r w:rsidRPr="00C86590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C86590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C86590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D4" w:rsidRDefault="00AF07D4">
      <w:pPr>
        <w:spacing w:line="240" w:lineRule="auto"/>
      </w:pPr>
      <w:r>
        <w:separator/>
      </w:r>
    </w:p>
  </w:endnote>
  <w:endnote w:type="continuationSeparator" w:id="0">
    <w:p w:rsidR="00AF07D4" w:rsidRDefault="00AF0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D4" w:rsidRDefault="00AF07D4">
      <w:pPr>
        <w:spacing w:after="0"/>
      </w:pPr>
      <w:r>
        <w:separator/>
      </w:r>
    </w:p>
  </w:footnote>
  <w:footnote w:type="continuationSeparator" w:id="0">
    <w:p w:rsidR="00AF07D4" w:rsidRDefault="00AF07D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86515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7FD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20465A"/>
    <w:multiLevelType w:val="hybridMultilevel"/>
    <w:tmpl w:val="3B602BB2"/>
    <w:lvl w:ilvl="0" w:tplc="5B4C0F7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4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1B7B00"/>
    <w:multiLevelType w:val="hybridMultilevel"/>
    <w:tmpl w:val="FF145FE8"/>
    <w:lvl w:ilvl="0" w:tplc="E1203C3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3"/>
  </w:num>
  <w:num w:numId="6">
    <w:abstractNumId w:val="0"/>
  </w:num>
  <w:num w:numId="7">
    <w:abstractNumId w:val="19"/>
  </w:num>
  <w:num w:numId="8">
    <w:abstractNumId w:val="10"/>
  </w:num>
  <w:num w:numId="9">
    <w:abstractNumId w:val="21"/>
  </w:num>
  <w:num w:numId="10">
    <w:abstractNumId w:val="12"/>
  </w:num>
  <w:num w:numId="11">
    <w:abstractNumId w:val="4"/>
  </w:num>
  <w:num w:numId="12">
    <w:abstractNumId w:val="16"/>
  </w:num>
  <w:num w:numId="13">
    <w:abstractNumId w:val="20"/>
  </w:num>
  <w:num w:numId="14">
    <w:abstractNumId w:val="15"/>
  </w:num>
  <w:num w:numId="15">
    <w:abstractNumId w:val="9"/>
  </w:num>
  <w:num w:numId="16">
    <w:abstractNumId w:val="7"/>
  </w:num>
  <w:num w:numId="17">
    <w:abstractNumId w:val="5"/>
  </w:num>
  <w:num w:numId="18">
    <w:abstractNumId w:val="14"/>
  </w:num>
  <w:num w:numId="19">
    <w:abstractNumId w:val="8"/>
  </w:num>
  <w:num w:numId="20">
    <w:abstractNumId w:val="18"/>
  </w:num>
  <w:num w:numId="21">
    <w:abstractNumId w:val="1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2213"/>
    <w:rsid w:val="0001366B"/>
    <w:rsid w:val="00016A47"/>
    <w:rsid w:val="00024F9E"/>
    <w:rsid w:val="0002686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03F7C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662D4"/>
    <w:rsid w:val="0017094E"/>
    <w:rsid w:val="0017106A"/>
    <w:rsid w:val="001779B0"/>
    <w:rsid w:val="0018158D"/>
    <w:rsid w:val="00182053"/>
    <w:rsid w:val="00193E1D"/>
    <w:rsid w:val="001A2B28"/>
    <w:rsid w:val="001A4162"/>
    <w:rsid w:val="001A54B3"/>
    <w:rsid w:val="001A7358"/>
    <w:rsid w:val="001A7D06"/>
    <w:rsid w:val="001B0BCE"/>
    <w:rsid w:val="001B3ACF"/>
    <w:rsid w:val="001B3CCD"/>
    <w:rsid w:val="001B495D"/>
    <w:rsid w:val="001C31F2"/>
    <w:rsid w:val="001C5D4C"/>
    <w:rsid w:val="001C5EFA"/>
    <w:rsid w:val="001C6D31"/>
    <w:rsid w:val="001D130E"/>
    <w:rsid w:val="001E70E8"/>
    <w:rsid w:val="001F2C2E"/>
    <w:rsid w:val="001F6D13"/>
    <w:rsid w:val="00201A36"/>
    <w:rsid w:val="002020E5"/>
    <w:rsid w:val="0020352C"/>
    <w:rsid w:val="0020399B"/>
    <w:rsid w:val="00204C62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37C1"/>
    <w:rsid w:val="002542DD"/>
    <w:rsid w:val="00254F3C"/>
    <w:rsid w:val="00256A28"/>
    <w:rsid w:val="00262B5A"/>
    <w:rsid w:val="00265EF5"/>
    <w:rsid w:val="00266924"/>
    <w:rsid w:val="00266F1C"/>
    <w:rsid w:val="002700AB"/>
    <w:rsid w:val="00273825"/>
    <w:rsid w:val="00275CB5"/>
    <w:rsid w:val="002928D4"/>
    <w:rsid w:val="002973F6"/>
    <w:rsid w:val="00297DFA"/>
    <w:rsid w:val="002A399E"/>
    <w:rsid w:val="002A3ED7"/>
    <w:rsid w:val="002A654A"/>
    <w:rsid w:val="002B6AC3"/>
    <w:rsid w:val="002C4308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09AB"/>
    <w:rsid w:val="00392B46"/>
    <w:rsid w:val="003A5D70"/>
    <w:rsid w:val="003A7292"/>
    <w:rsid w:val="003B1065"/>
    <w:rsid w:val="003B13B3"/>
    <w:rsid w:val="003B2AE3"/>
    <w:rsid w:val="003C4A72"/>
    <w:rsid w:val="003C6CC2"/>
    <w:rsid w:val="003D092B"/>
    <w:rsid w:val="003D2CFF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8E7"/>
    <w:rsid w:val="00426FF9"/>
    <w:rsid w:val="00430DAD"/>
    <w:rsid w:val="0043231D"/>
    <w:rsid w:val="00435DAC"/>
    <w:rsid w:val="004448B9"/>
    <w:rsid w:val="004503D0"/>
    <w:rsid w:val="00453EF0"/>
    <w:rsid w:val="004551BA"/>
    <w:rsid w:val="00455906"/>
    <w:rsid w:val="00456D39"/>
    <w:rsid w:val="00460FD0"/>
    <w:rsid w:val="00463142"/>
    <w:rsid w:val="00474C46"/>
    <w:rsid w:val="00475E41"/>
    <w:rsid w:val="00476100"/>
    <w:rsid w:val="00477522"/>
    <w:rsid w:val="004809F2"/>
    <w:rsid w:val="0049216D"/>
    <w:rsid w:val="004A47A2"/>
    <w:rsid w:val="004A76EA"/>
    <w:rsid w:val="004B15D7"/>
    <w:rsid w:val="004C1CC7"/>
    <w:rsid w:val="004C3CF1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0174"/>
    <w:rsid w:val="00536544"/>
    <w:rsid w:val="00546B20"/>
    <w:rsid w:val="00550A7D"/>
    <w:rsid w:val="00552835"/>
    <w:rsid w:val="00553303"/>
    <w:rsid w:val="00553CEF"/>
    <w:rsid w:val="00557ACC"/>
    <w:rsid w:val="00562AB8"/>
    <w:rsid w:val="00562EE7"/>
    <w:rsid w:val="00572833"/>
    <w:rsid w:val="00572DC1"/>
    <w:rsid w:val="0057477D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057F"/>
    <w:rsid w:val="005B118D"/>
    <w:rsid w:val="005B195C"/>
    <w:rsid w:val="005C005F"/>
    <w:rsid w:val="005C79C8"/>
    <w:rsid w:val="005D234B"/>
    <w:rsid w:val="005E1EF1"/>
    <w:rsid w:val="005E2FA9"/>
    <w:rsid w:val="005E4382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4B4C"/>
    <w:rsid w:val="00635CEC"/>
    <w:rsid w:val="00636DDB"/>
    <w:rsid w:val="006453A5"/>
    <w:rsid w:val="0064540D"/>
    <w:rsid w:val="006504FC"/>
    <w:rsid w:val="00651A28"/>
    <w:rsid w:val="00662D45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61F92"/>
    <w:rsid w:val="0076282A"/>
    <w:rsid w:val="00765416"/>
    <w:rsid w:val="00784743"/>
    <w:rsid w:val="00791640"/>
    <w:rsid w:val="007966A4"/>
    <w:rsid w:val="00797829"/>
    <w:rsid w:val="007A5A5B"/>
    <w:rsid w:val="007A74BA"/>
    <w:rsid w:val="007B31F4"/>
    <w:rsid w:val="007B54C0"/>
    <w:rsid w:val="007B7FDB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334D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65153"/>
    <w:rsid w:val="0087030C"/>
    <w:rsid w:val="00873E40"/>
    <w:rsid w:val="0087523A"/>
    <w:rsid w:val="00880C40"/>
    <w:rsid w:val="00883B0B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05BA"/>
    <w:rsid w:val="0090350B"/>
    <w:rsid w:val="009079B1"/>
    <w:rsid w:val="00914C7E"/>
    <w:rsid w:val="009217B0"/>
    <w:rsid w:val="00926026"/>
    <w:rsid w:val="009356EA"/>
    <w:rsid w:val="00942FD6"/>
    <w:rsid w:val="00944325"/>
    <w:rsid w:val="009472F3"/>
    <w:rsid w:val="009523F5"/>
    <w:rsid w:val="00952A93"/>
    <w:rsid w:val="009549E2"/>
    <w:rsid w:val="009677CB"/>
    <w:rsid w:val="00983229"/>
    <w:rsid w:val="00992457"/>
    <w:rsid w:val="0099463B"/>
    <w:rsid w:val="009A3132"/>
    <w:rsid w:val="009A5BFA"/>
    <w:rsid w:val="009B1597"/>
    <w:rsid w:val="009D2D25"/>
    <w:rsid w:val="009D543C"/>
    <w:rsid w:val="009E1EE6"/>
    <w:rsid w:val="009E7CD0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41074"/>
    <w:rsid w:val="00A5095F"/>
    <w:rsid w:val="00A53E48"/>
    <w:rsid w:val="00A54D62"/>
    <w:rsid w:val="00A5533B"/>
    <w:rsid w:val="00A57B28"/>
    <w:rsid w:val="00A6046A"/>
    <w:rsid w:val="00A60C92"/>
    <w:rsid w:val="00A70E1E"/>
    <w:rsid w:val="00A71C10"/>
    <w:rsid w:val="00A723DC"/>
    <w:rsid w:val="00A732B6"/>
    <w:rsid w:val="00A73C98"/>
    <w:rsid w:val="00A77DED"/>
    <w:rsid w:val="00A82BBE"/>
    <w:rsid w:val="00A8558E"/>
    <w:rsid w:val="00A9281B"/>
    <w:rsid w:val="00A9512E"/>
    <w:rsid w:val="00AA2DB6"/>
    <w:rsid w:val="00AA333F"/>
    <w:rsid w:val="00AA5F5E"/>
    <w:rsid w:val="00AB4F48"/>
    <w:rsid w:val="00AB575D"/>
    <w:rsid w:val="00AB7A38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07D4"/>
    <w:rsid w:val="00AF1FC1"/>
    <w:rsid w:val="00AF5096"/>
    <w:rsid w:val="00AF6BB3"/>
    <w:rsid w:val="00B0407A"/>
    <w:rsid w:val="00B04236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1674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9632A"/>
    <w:rsid w:val="00BA12EF"/>
    <w:rsid w:val="00BA4DC3"/>
    <w:rsid w:val="00BA573F"/>
    <w:rsid w:val="00BA7F4C"/>
    <w:rsid w:val="00BB28D8"/>
    <w:rsid w:val="00BC0875"/>
    <w:rsid w:val="00BC0FFF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1ED8"/>
    <w:rsid w:val="00C379DC"/>
    <w:rsid w:val="00C5184B"/>
    <w:rsid w:val="00C63B7D"/>
    <w:rsid w:val="00C67251"/>
    <w:rsid w:val="00C730EB"/>
    <w:rsid w:val="00C74A92"/>
    <w:rsid w:val="00C76832"/>
    <w:rsid w:val="00C86590"/>
    <w:rsid w:val="00C86C39"/>
    <w:rsid w:val="00C92132"/>
    <w:rsid w:val="00CA485E"/>
    <w:rsid w:val="00CA4ACE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0D36"/>
    <w:rsid w:val="00CF5A6A"/>
    <w:rsid w:val="00D00513"/>
    <w:rsid w:val="00D01649"/>
    <w:rsid w:val="00D0181D"/>
    <w:rsid w:val="00D05BF9"/>
    <w:rsid w:val="00D1295F"/>
    <w:rsid w:val="00D13C3F"/>
    <w:rsid w:val="00D1453A"/>
    <w:rsid w:val="00D20146"/>
    <w:rsid w:val="00D2244B"/>
    <w:rsid w:val="00D23712"/>
    <w:rsid w:val="00D23DF6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67A24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B538A"/>
    <w:rsid w:val="00DC173D"/>
    <w:rsid w:val="00DC7990"/>
    <w:rsid w:val="00DD241E"/>
    <w:rsid w:val="00DD6C4F"/>
    <w:rsid w:val="00DD6FDA"/>
    <w:rsid w:val="00DE392B"/>
    <w:rsid w:val="00DF1226"/>
    <w:rsid w:val="00DF44D0"/>
    <w:rsid w:val="00DF4DB9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55F06"/>
    <w:rsid w:val="00E64592"/>
    <w:rsid w:val="00E65971"/>
    <w:rsid w:val="00E73ABE"/>
    <w:rsid w:val="00E74517"/>
    <w:rsid w:val="00E810ED"/>
    <w:rsid w:val="00E83D98"/>
    <w:rsid w:val="00E85A51"/>
    <w:rsid w:val="00E92E5B"/>
    <w:rsid w:val="00E9456E"/>
    <w:rsid w:val="00E95AF0"/>
    <w:rsid w:val="00E96377"/>
    <w:rsid w:val="00E9639E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4AA"/>
    <w:rsid w:val="00F22F5D"/>
    <w:rsid w:val="00F25105"/>
    <w:rsid w:val="00F37005"/>
    <w:rsid w:val="00F41872"/>
    <w:rsid w:val="00F5648B"/>
    <w:rsid w:val="00F712F4"/>
    <w:rsid w:val="00F74B13"/>
    <w:rsid w:val="00F76C67"/>
    <w:rsid w:val="00F831CC"/>
    <w:rsid w:val="00F83F1B"/>
    <w:rsid w:val="00F85A57"/>
    <w:rsid w:val="00F86684"/>
    <w:rsid w:val="00F86CFF"/>
    <w:rsid w:val="00F905D7"/>
    <w:rsid w:val="00F911B7"/>
    <w:rsid w:val="00F91476"/>
    <w:rsid w:val="00F9454D"/>
    <w:rsid w:val="00FA7A69"/>
    <w:rsid w:val="00FA7BF3"/>
    <w:rsid w:val="00FA7F94"/>
    <w:rsid w:val="00FB4F16"/>
    <w:rsid w:val="00FC685A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122</cp:revision>
  <cp:lastPrinted>2025-02-24T12:47:00Z</cp:lastPrinted>
  <dcterms:created xsi:type="dcterms:W3CDTF">2023-07-14T08:23:00Z</dcterms:created>
  <dcterms:modified xsi:type="dcterms:W3CDTF">2025-02-26T14:24:00Z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