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70" w:rsidRDefault="00A94B70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5A01AE" w:rsidRDefault="005A01AE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5A01AE" w:rsidRDefault="005A01AE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5A01AE" w:rsidRDefault="005A01AE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5A01AE" w:rsidRDefault="005A01AE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5A01AE" w:rsidRDefault="005A01AE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5A01AE" w:rsidRDefault="005A01AE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5A01AE" w:rsidRDefault="005A01AE">
      <w:pPr>
        <w:pStyle w:val="ConsPlusTitle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A94B70" w:rsidRDefault="00CA2D80">
      <w:pPr>
        <w:shd w:val="clear" w:color="auto" w:fill="FFFFFF"/>
        <w:overflowPunct w:val="0"/>
        <w:spacing w:after="0" w:line="240" w:lineRule="auto"/>
        <w:jc w:val="center"/>
        <w:rPr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Оешмалар мөлкәтенә салым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Татарстан Республикасы Законының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br/>
        <w:t>3 һәм 5 статьяларына үзгәрешләр кертү хакында</w:t>
      </w:r>
    </w:p>
    <w:p w:rsidR="00A94B70" w:rsidRDefault="00A94B70" w:rsidP="005A0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C62C58" w:rsidRPr="005A01AE" w:rsidRDefault="00C62C58" w:rsidP="005A01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5A01AE" w:rsidRPr="005A01AE" w:rsidRDefault="005A01AE" w:rsidP="005A01A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  <w:r w:rsidRPr="005A01A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Дәүләт Советы тарафыннан 2025 елның 25 сентябрендә</w:t>
      </w:r>
    </w:p>
    <w:p w:rsidR="005A01AE" w:rsidRPr="005A01AE" w:rsidRDefault="005A01AE" w:rsidP="005A01A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  <w:r w:rsidRPr="005A01A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кабул ителде</w:t>
      </w:r>
    </w:p>
    <w:p w:rsidR="00A94B70" w:rsidRDefault="00A94B70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5A01AE" w:rsidRPr="005A01AE" w:rsidRDefault="005A01AE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94B70" w:rsidRDefault="00CA2D80">
      <w:pPr>
        <w:overflowPunct w:val="0"/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  <w:t>1 статья</w:t>
      </w:r>
    </w:p>
    <w:p w:rsidR="00A94B70" w:rsidRDefault="00A94B70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A94B70" w:rsidRPr="005A01AE" w:rsidRDefault="00CA2D80">
      <w:pPr>
        <w:overflowPunct w:val="0"/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Оешмалар мөлкәтенә салым турында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» 2003 елның 28 ноябрендәге 49-ТРЗ номерлы Татарстан Республикасы Законына (2010 елның 5 июлендәге 51-ТРЗ номерлы Татарстан Республикасы Законы редакциясендә) (Татарстан Дәүләт Советы Җыелма басмасы, 2003, № 11; 2010, № 7 (II өлеш); 2011, № 5, № 8 (I өлеш); 2012, № 2, № 6 (I өлеш); 2013, № 3, № 6 (II өлеш), № 10, № 12 (I өлеш); 2014, № 10 (I</w:t>
      </w:r>
      <w:r w:rsidR="005A01A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өлеш); 2015, № 6 (I өлеш), № 8</w:t>
      </w:r>
      <w:r w:rsidR="0006430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9; 2016, № 1</w:t>
      </w:r>
      <w:r w:rsidR="0006430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2, № 6 (III өлеш); </w:t>
      </w:r>
      <w:r w:rsidR="0006430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законнар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җы</w:t>
      </w:r>
      <w:r w:rsidR="0006430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елмасы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, 2016, № 44 (I өлеш); 2017, № 1 (I өлеш), № 17 (I</w:t>
      </w:r>
      <w:r w:rsidR="0006430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өлеш), № 50 (I өлеш), № 94 (I өлеш); 2018, № 1 (I өлеш), № 54 (I өлеш);</w:t>
      </w:r>
      <w:r w:rsidR="0006430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2019, № 49 (I өлеш); 2020, № 26 (I өлеш), № 57 (I өлеш); 2021, № 1 (I өлеш), № 36 (I өлеш), № 49 (I өлеш), № 77 (I өлеш), № 93 (I өлеш); 2022, № 3 (I өлеш), № 34 (I өлеш), № 49 (I</w:t>
      </w:r>
      <w:r w:rsidR="005A01A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өлеш), № 77 (I өлеш), № 90 (I өлеш); 2023, № 48 (I өлеш), № 56 (I өлеш), № 73 (I</w:t>
      </w:r>
      <w:r w:rsidR="005A01AE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өлеш); 2024, № 45 (I өлеш), № 56 (I өлеш), № 76 (I өлеш); 2025, № 1 (I өлеш), № 29 (I өлеш), № 49 (I өлеш)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>түбәндәге үзгәрешләрне кертергә:</w:t>
      </w:r>
    </w:p>
    <w:p w:rsidR="00A94B70" w:rsidRPr="005A01AE" w:rsidRDefault="00A94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A94B70" w:rsidRDefault="00CA2D80">
      <w:pPr>
        <w:overflowPunct w:val="0"/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val="tt-RU" w:eastAsia="ru-RU"/>
        </w:rPr>
        <w:t xml:space="preserve">1)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 w:eastAsia="ru-RU"/>
        </w:rPr>
        <w:t>3 статьяда:</w:t>
      </w:r>
    </w:p>
    <w:p w:rsidR="00A94B70" w:rsidRDefault="00CA2D80">
      <w:pPr>
        <w:overflowPunct w:val="0"/>
        <w:spacing w:after="0" w:line="240" w:lineRule="auto"/>
        <w:ind w:firstLine="700"/>
        <w:jc w:val="both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2 өлешкә түбәндәге эчтәлек</w:t>
      </w:r>
      <w:r w:rsidR="0006430E">
        <w:rPr>
          <w:rFonts w:ascii="Times New Roman" w:hAnsi="Times New Roman" w:cs="Times New Roman"/>
          <w:sz w:val="28"/>
          <w:szCs w:val="28"/>
          <w:lang w:val="tt-RU"/>
        </w:rPr>
        <w:t>ле 18 пункт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өстәргә:</w:t>
      </w:r>
    </w:p>
    <w:p w:rsidR="00A94B70" w:rsidRDefault="00CA2D80">
      <w:pPr>
        <w:widowControl w:val="0"/>
        <w:overflowPunct w:val="0"/>
        <w:spacing w:after="0" w:line="240" w:lineRule="auto"/>
        <w:ind w:firstLine="669"/>
        <w:jc w:val="both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«18)</w:t>
      </w:r>
      <w:r w:rsidR="0006430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C0565">
        <w:rPr>
          <w:rFonts w:ascii="Times New Roman" w:eastAsia="Arial" w:hAnsi="Times New Roman" w:cs="Times New Roman"/>
          <w:sz w:val="28"/>
          <w:szCs w:val="28"/>
          <w:lang w:val="tt-RU"/>
        </w:rPr>
        <w:t>техник</w:t>
      </w:r>
      <w:r w:rsidR="00244309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-</w:t>
      </w:r>
      <w:r w:rsidR="00AC0565">
        <w:rPr>
          <w:rFonts w:ascii="Times New Roman" w:eastAsia="Arial" w:hAnsi="Times New Roman" w:cs="Times New Roman"/>
          <w:sz w:val="28"/>
          <w:szCs w:val="28"/>
          <w:lang w:val="tt-RU"/>
        </w:rPr>
        <w:t>гамәлгә кертү тибындагы махсус икътисадый зоналарның идарәче компанияләре тарафыннан</w:t>
      </w:r>
      <w:r w:rsid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–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махсус икътисадый зоналар төзү турындагы килешүләрне гамәлгә ашыру максатларында булдырылган</w:t>
      </w:r>
      <w:r w:rsidR="00924218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һәм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идарәче компания балансында төп чаралар объект</w:t>
      </w:r>
      <w:r w:rsidR="000643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ы буларак </w:t>
      </w:r>
      <w:r w:rsid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санала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торган мөлкәткә карата</w:t>
      </w:r>
      <w:r w:rsidR="00B76650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,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күрсәтелгән мөлкәтне исәпкә куйган айдан соң килә торган айдан башлап ун ел узгач,</w:t>
      </w:r>
      <w:r w:rsidR="00AC0565" w:rsidRP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 w:rsid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мөлкәтнең исәбен аерым алып бару шарты белән</w:t>
      </w:r>
      <w:r w:rsidR="00C62C58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A94B70" w:rsidRDefault="0006430E">
      <w:pPr>
        <w:widowControl w:val="0"/>
        <w:overflowPunct w:val="0"/>
        <w:spacing w:after="0" w:line="240" w:lineRule="auto"/>
        <w:ind w:firstLine="660"/>
        <w:jc w:val="both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C62C58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C62C58" w:rsidRPr="00C62C58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өлешкә түбәндәге эчтәлекле 3 пункт</w:t>
      </w:r>
      <w:r w:rsidR="00CA2D80">
        <w:rPr>
          <w:rFonts w:ascii="Times New Roman" w:hAnsi="Times New Roman" w:cs="Times New Roman"/>
          <w:sz w:val="28"/>
          <w:szCs w:val="28"/>
          <w:lang w:val="tt-RU"/>
        </w:rPr>
        <w:t xml:space="preserve"> өстәргә:</w:t>
      </w:r>
    </w:p>
    <w:p w:rsidR="00A94B70" w:rsidRDefault="00CA2D80">
      <w:pPr>
        <w:widowControl w:val="0"/>
        <w:overflowPunct w:val="0"/>
        <w:spacing w:after="0" w:line="240" w:lineRule="auto"/>
        <w:ind w:firstLine="660"/>
        <w:jc w:val="both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«3)</w:t>
      </w:r>
      <w:r w:rsidR="00AC0565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техник</w:t>
      </w:r>
      <w:r w:rsidR="00244309">
        <w:rPr>
          <w:rFonts w:ascii="Times New Roman" w:eastAsia="Arial" w:hAnsi="Times New Roman" w:cs="Times New Roman"/>
          <w:sz w:val="28"/>
          <w:szCs w:val="28"/>
          <w:lang w:val="tt-RU"/>
        </w:rPr>
        <w:t>-</w:t>
      </w:r>
      <w:r w:rsidR="00AC0565">
        <w:rPr>
          <w:rFonts w:ascii="Times New Roman" w:eastAsia="Arial" w:hAnsi="Times New Roman" w:cs="Times New Roman"/>
          <w:sz w:val="28"/>
          <w:szCs w:val="28"/>
          <w:lang w:val="tt-RU"/>
        </w:rPr>
        <w:t>гамәлгә кертү тибындагы махсус икътисадый зоналарның идарәче компанияләре</w:t>
      </w:r>
      <w:r w:rsid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– махсус икътисадый зоналар төзү турындагы килешүләрне гамәлгә </w:t>
      </w:r>
      <w:r w:rsid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lastRenderedPageBreak/>
        <w:t>ашыру максатларында булдырылган</w:t>
      </w:r>
      <w:r w:rsidR="00924218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һәм</w:t>
      </w:r>
      <w:r w:rsid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идарәче компания балансында төп чаралар объекты буларак санала торган мөлкәткә карата, күрсәтелгән мөлкәтне исәпкә куйган айдан соң килә торган айдан башлап ун ел узгач,</w:t>
      </w:r>
      <w:r w:rsidR="00AC0565" w:rsidRP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 w:rsidR="00AC056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мөлкәтнең исәбен аерым алып бару шарты белән.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»;</w:t>
      </w:r>
    </w:p>
    <w:p w:rsidR="00A94B70" w:rsidRPr="00CA2D80" w:rsidRDefault="00A94B70">
      <w:pPr>
        <w:widowControl w:val="0"/>
        <w:overflowPunct w:val="0"/>
        <w:spacing w:after="0" w:line="240" w:lineRule="auto"/>
        <w:ind w:firstLine="66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A94B70" w:rsidRDefault="00CA2D80">
      <w:pPr>
        <w:widowControl w:val="0"/>
        <w:overflowPunct w:val="0"/>
        <w:spacing w:after="0" w:line="240" w:lineRule="auto"/>
        <w:ind w:firstLine="660"/>
        <w:jc w:val="both"/>
        <w:rPr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2) </w:t>
      </w:r>
      <w:r w:rsidR="0006430E">
        <w:rPr>
          <w:rFonts w:ascii="Times New Roman" w:hAnsi="Times New Roman" w:cs="Times New Roman"/>
          <w:bCs/>
          <w:sz w:val="28"/>
          <w:szCs w:val="28"/>
          <w:lang w:val="tt-RU"/>
        </w:rPr>
        <w:t>5 статьяга түбәндәге эчтәлекле 14 һәм 15 пунктлар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өстәргә: </w:t>
      </w:r>
    </w:p>
    <w:p w:rsidR="00A94B70" w:rsidRDefault="00CA2D80">
      <w:pPr>
        <w:shd w:val="clear" w:color="auto" w:fill="FFFFFF"/>
        <w:overflowPunct w:val="0"/>
        <w:spacing w:after="0" w:line="240" w:lineRule="auto"/>
        <w:ind w:firstLine="658"/>
        <w:jc w:val="both"/>
        <w:rPr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14) 2029 елның 1 гыйнварыннан әлеге Законның 3 статьясындагы 2 өлешенең 18 </w:t>
      </w:r>
      <w:r w:rsidRPr="0006430E">
        <w:rPr>
          <w:rFonts w:ascii="Times New Roman" w:eastAsia="Helvetica" w:hAnsi="Times New Roman" w:cs="Times New Roman"/>
          <w:bCs/>
          <w:color w:val="000000"/>
          <w:sz w:val="28"/>
          <w:szCs w:val="28"/>
          <w:shd w:val="clear" w:color="auto" w:fill="FFFFFF"/>
          <w:lang w:val="tt-RU" w:eastAsia="zh-CN"/>
        </w:rPr>
        <w:t>пунктын;</w:t>
      </w:r>
    </w:p>
    <w:p w:rsidR="00A94B70" w:rsidRDefault="00CA2D80">
      <w:pPr>
        <w:shd w:val="clear" w:color="auto" w:fill="FFFFFF"/>
        <w:overflowPunct w:val="0"/>
        <w:spacing w:after="0" w:line="240" w:lineRule="auto"/>
        <w:ind w:firstLine="658"/>
        <w:jc w:val="both"/>
        <w:rPr>
          <w:lang w:val="tt-RU"/>
        </w:rPr>
      </w:pPr>
      <w:r>
        <w:rPr>
          <w:rFonts w:ascii="Times New Roman" w:eastAsia="Helvetica" w:hAnsi="Times New Roman" w:cs="Times New Roman"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15) 2032 елның 1 гыйнварыннан әлеге Законның 3 статьясындагы </w:t>
      </w:r>
      <w:r w:rsidR="00C62C58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C62C58" w:rsidRPr="00C62C58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өлешенең 3 пунктын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 w:eastAsia="ru-RU"/>
        </w:rPr>
        <w:t>.».</w:t>
      </w:r>
    </w:p>
    <w:p w:rsidR="00A94B70" w:rsidRPr="00CA2D80" w:rsidRDefault="00A94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4B70" w:rsidRDefault="00CA2D80">
      <w:pPr>
        <w:pStyle w:val="ConsPlusNormal"/>
        <w:overflowPunct w:val="0"/>
        <w:ind w:firstLine="709"/>
        <w:jc w:val="both"/>
        <w:rPr>
          <w:lang w:val="tt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2 статья</w:t>
      </w:r>
    </w:p>
    <w:p w:rsidR="00A94B70" w:rsidRDefault="00A94B70">
      <w:pPr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A94B70" w:rsidRDefault="00CA2D80">
      <w:pPr>
        <w:overflowPunct w:val="0"/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1. Әлеге Закон, әлеге Законның 1 статьясындагы 1 пунктының «б» пунктчасыннан һәм 2 пунктының өченче абзацыннан тыш, рәсми басылып чыккан көненнән үз көченә керә. </w:t>
      </w:r>
    </w:p>
    <w:p w:rsidR="00A94B70" w:rsidRDefault="00CA2D80">
      <w:pPr>
        <w:overflowPunct w:val="0"/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>2. Әлеге Законның 1 статьясындагы 1 пунктының «б» пунктчасы һәм 2</w:t>
      </w:r>
      <w:r w:rsidR="005A01AE">
        <w:rPr>
          <w:rFonts w:ascii="Times New Roman" w:eastAsia="Arial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пунктының өченче абзацы 2029 елның 1 гыйнварыннан үз көченә керә. </w:t>
      </w:r>
    </w:p>
    <w:p w:rsidR="00A94B70" w:rsidRDefault="00CA2D80">
      <w:pPr>
        <w:overflowPunct w:val="0"/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>3. «Оешмалар мөлкәтенә салым турында» 2003 елның 28 ноябрендәге 49-ТРЗ номерлы Татарстан Республикасы Законының 3 статьясындагы 2 өлешенең</w:t>
      </w:r>
      <w:r w:rsidR="0006430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18</w:t>
      </w:r>
      <w:r w:rsidR="0006430E">
        <w:rPr>
          <w:rFonts w:ascii="Times New Roman" w:eastAsia="Arial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пункты нигезләмәләренең (әлеге Закон редакциясендә) гамәлдә булуы 2025</w:t>
      </w:r>
      <w:r w:rsidR="0006430E">
        <w:rPr>
          <w:rFonts w:ascii="Times New Roman" w:eastAsia="Arial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елның 1 июленнән барлыкка килгән хокук мөнәсәбәтләренә кагыла.</w:t>
      </w:r>
    </w:p>
    <w:p w:rsidR="00A94B70" w:rsidRDefault="00A94B70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4B70" w:rsidRDefault="00A94B70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4B70" w:rsidRDefault="00CA2D80">
      <w:pPr>
        <w:overflowPunct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A94B70" w:rsidRDefault="00C62C58">
      <w:pPr>
        <w:overflowPunct w:val="0"/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 xml:space="preserve">    </w:t>
      </w:r>
      <w:r w:rsidR="00CA2D80"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>Рәисе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ab/>
        <w:t xml:space="preserve">   </w:t>
      </w:r>
      <w:r w:rsidR="005A01AE">
        <w:rPr>
          <w:rFonts w:ascii="Times New Roman" w:eastAsia="Arial" w:hAnsi="Times New Roman" w:cs="Times New Roman"/>
          <w:color w:val="000000"/>
          <w:sz w:val="28"/>
          <w:szCs w:val="28"/>
          <w:lang w:val="tt-RU" w:eastAsia="ru-RU"/>
        </w:rPr>
        <w:t xml:space="preserve"> Р.Н. Миңнеханов</w:t>
      </w:r>
    </w:p>
    <w:sectPr w:rsidR="00A94B70" w:rsidSect="00686D41">
      <w:headerReference w:type="default" r:id="rId6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D3" w:rsidRDefault="00D414D3">
      <w:pPr>
        <w:spacing w:after="0" w:line="240" w:lineRule="auto"/>
      </w:pPr>
      <w:r>
        <w:separator/>
      </w:r>
    </w:p>
  </w:endnote>
  <w:endnote w:type="continuationSeparator" w:id="0">
    <w:p w:rsidR="00D414D3" w:rsidRDefault="00D4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D3" w:rsidRDefault="00D414D3">
      <w:pPr>
        <w:spacing w:after="0" w:line="240" w:lineRule="auto"/>
      </w:pPr>
      <w:r>
        <w:separator/>
      </w:r>
    </w:p>
  </w:footnote>
  <w:footnote w:type="continuationSeparator" w:id="0">
    <w:p w:rsidR="00D414D3" w:rsidRDefault="00D4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2778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94B70" w:rsidRDefault="00F61F21">
        <w:pPr>
          <w:pStyle w:val="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2C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2D80" w:rsidRPr="00C62C58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62C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50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2C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70"/>
    <w:rsid w:val="0006430E"/>
    <w:rsid w:val="0013082F"/>
    <w:rsid w:val="00244309"/>
    <w:rsid w:val="00364E14"/>
    <w:rsid w:val="005A01AE"/>
    <w:rsid w:val="006450D7"/>
    <w:rsid w:val="00686D41"/>
    <w:rsid w:val="008263E6"/>
    <w:rsid w:val="00924218"/>
    <w:rsid w:val="00A94B70"/>
    <w:rsid w:val="00AC0565"/>
    <w:rsid w:val="00AF143A"/>
    <w:rsid w:val="00B71484"/>
    <w:rsid w:val="00B76650"/>
    <w:rsid w:val="00C62C58"/>
    <w:rsid w:val="00CA2D80"/>
    <w:rsid w:val="00D414D3"/>
    <w:rsid w:val="00F6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7E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263B7E"/>
    <w:rPr>
      <w:rFonts w:ascii="Calibri" w:eastAsia="Times New Roman" w:hAnsi="Calibri" w:cs="Calibri"/>
      <w:sz w:val="22"/>
      <w:szCs w:val="22"/>
    </w:rPr>
  </w:style>
  <w:style w:type="character" w:customStyle="1" w:styleId="a4">
    <w:name w:val="Нижний колонтитул Знак"/>
    <w:basedOn w:val="a0"/>
    <w:link w:val="10"/>
    <w:uiPriority w:val="99"/>
    <w:qFormat/>
    <w:rsid w:val="00263B7E"/>
    <w:rPr>
      <w:rFonts w:ascii="Calibri" w:eastAsia="Times New Roman" w:hAnsi="Calibri" w:cs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4C3D0A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rsid w:val="00013547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6">
    <w:name w:val="Body Text"/>
    <w:basedOn w:val="a"/>
    <w:rsid w:val="00013547"/>
    <w:pPr>
      <w:spacing w:after="140"/>
    </w:pPr>
  </w:style>
  <w:style w:type="paragraph" w:styleId="a7">
    <w:name w:val="List"/>
    <w:basedOn w:val="a6"/>
    <w:rsid w:val="00013547"/>
    <w:rPr>
      <w:rFonts w:ascii="PT Astra Serif" w:hAnsi="PT Astra Serif" w:cs="Mangal"/>
    </w:rPr>
  </w:style>
  <w:style w:type="paragraph" w:styleId="a8">
    <w:name w:val="caption"/>
    <w:basedOn w:val="a"/>
    <w:qFormat/>
    <w:rsid w:val="00686D41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9">
    <w:name w:val="index heading"/>
    <w:basedOn w:val="a"/>
    <w:qFormat/>
    <w:rsid w:val="00013547"/>
    <w:pPr>
      <w:suppressLineNumbers/>
    </w:pPr>
    <w:rPr>
      <w:rFonts w:ascii="PT Astra Serif" w:hAnsi="PT Astra Serif" w:cs="Mangal"/>
    </w:rPr>
  </w:style>
  <w:style w:type="paragraph" w:customStyle="1" w:styleId="12">
    <w:name w:val="Название объекта1"/>
    <w:basedOn w:val="a"/>
    <w:qFormat/>
    <w:rsid w:val="00013547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onsPlusNormal">
    <w:name w:val="ConsPlusNormal"/>
    <w:qFormat/>
    <w:rsid w:val="00263B7E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qFormat/>
    <w:rsid w:val="00263B7E"/>
    <w:rPr>
      <w:rFonts w:ascii="Arial" w:hAnsi="Arial" w:cs="Arial"/>
      <w:b/>
      <w:bCs/>
      <w:sz w:val="20"/>
      <w:szCs w:val="20"/>
      <w:lang w:eastAsia="ru-RU"/>
    </w:rPr>
  </w:style>
  <w:style w:type="paragraph" w:customStyle="1" w:styleId="aa">
    <w:name w:val="Колонтитул"/>
    <w:basedOn w:val="a"/>
    <w:qFormat/>
    <w:rsid w:val="00686D41"/>
  </w:style>
  <w:style w:type="paragraph" w:customStyle="1" w:styleId="1">
    <w:name w:val="Верхний колонтитул1"/>
    <w:basedOn w:val="a"/>
    <w:link w:val="a3"/>
    <w:uiPriority w:val="99"/>
    <w:unhideWhenUsed/>
    <w:rsid w:val="00263B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263B7E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b">
    <w:name w:val="Без списка"/>
    <w:uiPriority w:val="99"/>
    <w:semiHidden/>
    <w:unhideWhenUsed/>
    <w:qFormat/>
    <w:rsid w:val="00686D41"/>
  </w:style>
  <w:style w:type="paragraph" w:styleId="ac">
    <w:name w:val="Balloon Text"/>
    <w:basedOn w:val="a"/>
    <w:link w:val="ad"/>
    <w:uiPriority w:val="99"/>
    <w:semiHidden/>
    <w:unhideWhenUsed/>
    <w:rsid w:val="00B7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650"/>
    <w:rPr>
      <w:rFonts w:ascii="Tahoma" w:eastAsia="Times New Roman" w:hAnsi="Tahoma" w:cs="Tahoma"/>
      <w:sz w:val="16"/>
      <w:szCs w:val="16"/>
    </w:rPr>
  </w:style>
  <w:style w:type="paragraph" w:styleId="ae">
    <w:name w:val="footer"/>
    <w:basedOn w:val="a"/>
    <w:link w:val="13"/>
    <w:uiPriority w:val="99"/>
    <w:semiHidden/>
    <w:unhideWhenUsed/>
    <w:rsid w:val="00C6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C62C58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ahmetova.endzhe</cp:lastModifiedBy>
  <cp:revision>9</cp:revision>
  <cp:lastPrinted>2025-09-25T09:47:00Z</cp:lastPrinted>
  <dcterms:created xsi:type="dcterms:W3CDTF">2025-09-10T10:48:00Z</dcterms:created>
  <dcterms:modified xsi:type="dcterms:W3CDTF">2025-09-26T06:52:00Z</dcterms:modified>
  <dc:language>ru-RU</dc:language>
</cp:coreProperties>
</file>