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Республики Татарстан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eastAsia="Times New Roman" w:cs="Calibri" w:ascii="Times New Roman" w:hAnsi="Times New Roman"/>
          <w:b/>
          <w:sz w:val="28"/>
          <w:szCs w:val="28"/>
        </w:rPr>
        <w:t>О внесении изменений в Закон Республики Татарстан</w:t>
        <w:br/>
        <w:t>«Об обеспечении доступа к информации о деятельности государственных органов Республики Татарстан и органов местного самоуправления</w:t>
        <w:br/>
        <w:t>в Республике Татарстан»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закона Республики Татарстан «О внесении изменений в Закон Республики Татарстан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 (далее – законопроект) разработан</w:t>
        <w:br/>
        <w:t xml:space="preserve">в соответствии с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14 июля 2022 года № 270-ФЗ «О внесении изменений в Федеральный закон «Об обеспечении доступа</w:t>
        <w:br/>
        <w:t>к информации о деятельности государственных органов и органов местного самоуправления» и статью 10 Федерального закона «Об обеспечении доступа к информации о деятельности судов в Российской Федерации» (далее – Федеральный закон), который вступает в силу 1 декабря 2022 года.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Законопроект направлен на повышение открытости функционирования государственных органов Республики Татарстан, органов местного самоуправления, а также подведомственных государственным органам, органам местного самоуправления организаций и обеспечения возможности получения гражданами в понятной и доступной форме полной и достоверной информации о деятельности указанных органов и организаций.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 указанных целях уточняются требования к организации доступа к информации о деятельности государственных органов и органов местного самоуправления, в частности: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устанавливается обязанность для органов и организаций по созданию и использованию официальных страниц в социальных сетях для размещения актуальной информации о своей деятельности;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расширяется круг субъектов, обязанных обеспечивать доступ к информации посредством включения в него организаций</w:t>
      </w:r>
      <w:r>
        <w:rPr>
          <w:rFonts w:ascii="Times New Roman" w:hAnsi="Times New Roman"/>
          <w:sz w:val="28"/>
          <w:szCs w:val="28"/>
        </w:rPr>
        <w:t>, подведомственных государственным органам, органам местного самоуправления.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Федеральным законом определяется также, что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23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uiPriority w:val="99"/>
    <w:qFormat/>
    <w:rsid w:val="001c223f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1</Pages>
  <Words>286</Words>
  <Characters>2145</Characters>
  <CharactersWithSpaces>2423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2022-11-09T14:52:00Z</dcterms:created>
  <dc:creator>Kazanceva</dc:creator>
  <dc:description/>
  <dc:language>ru-RU</dc:language>
  <cp:lastModifiedBy>Kazanceva</cp:lastModifiedBy>
  <dcterms:modified xsi:type="dcterms:W3CDTF">2022-11-09T14:53:00Z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