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СРАВНИТЕЛЬНАЯ ТАБЛИЦА</w:t>
      </w:r>
    </w:p>
    <w:p>
      <w:pPr>
        <w:pStyle w:val="ConsPlusTitle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к проекту закона Республики Татарстан «О внесении изменений в Закон Республики Татарстан 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4"/>
        <w:gridCol w:w="4414"/>
        <w:gridCol w:w="5031"/>
        <w:gridCol w:w="5107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№ </w:t>
            </w:r>
            <w:r>
              <w:rPr>
                <w:b w:val="false"/>
              </w:rPr>
              <w:t>п/п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ind w:hanging="27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Действующая редакция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ind w:hanging="27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Предлагаемые изменения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ind w:hanging="27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Редакция с учетом предлагаемых изменений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  <w:t>дополнить статьей 1</w:t>
            </w:r>
            <w:r>
              <w:rPr>
                <w:rFonts w:eastAsia="Times New Roman"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  <w:t xml:space="preserve"> следующего содержания: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  <w:t>«Статья 1</w:t>
            </w:r>
            <w:r>
              <w:rPr>
                <w:rFonts w:eastAsia="Times New Roman"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  <w:t>. Понятия, используемые в настоящем Законе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8"/>
                <w:lang w:eastAsia="ru-RU"/>
              </w:rPr>
              <w:t>Понятия, используемые в настоящем Законе, применяются в значениях, установленных Федеральным законом.»;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8"/>
                <w:lang w:eastAsia="ru-RU"/>
              </w:rPr>
              <w:t>Статья 1</w:t>
            </w:r>
            <w:r>
              <w:rPr>
                <w:rFonts w:eastAsia="Times New Roman"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sz w:val="24"/>
                <w:szCs w:val="28"/>
                <w:lang w:eastAsia="ru-RU"/>
              </w:rPr>
              <w:t>. Понятия, используемые в настоящем Законе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8"/>
                <w:lang w:eastAsia="ru-RU"/>
              </w:rPr>
              <w:t>Понятия, используемые в настоящем Законе, применяются в значениях, установленных Федеральным законом.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 Организация доступа к информации о деятельности государственных органов, органов местного самоуправления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Доступ к информации о деятельности государственного органа, органа местного самоуправления обеспечивается соответствующим структурным подразделением или уполномоченным должностным лицом государственного органа, органа местного самоуправления.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часть 1 статьи 4 изложить в следующей редакции: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«1. Доступ к информации о деятельности государственных органов и органов местного самоуправления обеспечивается соответствующими структурными подразделениями или уполномоченными должностными лицами указанных органов и организациями, подведомственными государственным органам, органам местного самоуправления (далее – подведомственные организации).».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4. Организация доступа к информации о деятельности государственных органов, органов местного самоуправления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Доступ к информации о деятельности государственных органов и органов местного самоуправления обеспечивается соответствующими структурными подразделениями или уполномоченными должностными лицами указанных органов и организациями, подведомственными государственным органам, органам местного самоуправления (далее – подведомственные организации).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3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5. Организация доступа к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Государственные органы, органы местного самоуправления для размещения информации о своей деятельности используют информационно-телекоммуникационную сеть «Интернет», в которой создают свои официальные сайты с указанием адреса электронной почты, по которому может быть направлен запрос.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указанная информация может размещаться на официальном сайте (портале) Республики Татарстан.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на официальных сайтах государственных органов, органов местного самоуправления в информационно-телекоммуникационной сети «Интернет» размещается на государственных языках Республики Татарстан.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технологическим, программным и лингвистическим средствам обеспечения пользования официальными сайтами государственных органов, органов местного самоуправления устанавливаются в пределах своих полномочий указанными органами.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условий доступности для инвалидов по зрению официальных сайтов органов государственной власти Республики Татарстан и органов местного самоуправления в информационно-телекоммуникационной сети «Интернет» осуществляется в порядке, установленном федеральным законодательством.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статью 5 изложить в следующей редакции: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«Статья 5. Организация доступа к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1. Государственные органы, органы местного самоуправления для размещения информации о своей деятельности используют информационно-телекоммуникационную сеть «Интернет»,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создают официальные сайты, за исключением случаев, предусмотренных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(портале) Республики Татарстан.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2. Государственные органы, органы местного самоуправления и подведомственные организации создают официальные страницы для размещения информации о своей деятельности в информационно-телекоммуникационной сети «Интернет».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информационно-телекоммуникационной сети «Интернет». Информация об официальных страницах с указателями данных страниц в информационно-телекоммуникационной сети «Интернет» размещается на официальном сайте соответствующих государственного органа, органа местного самоуправления или подведомственной организации.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3. Государственные органы,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4.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5. Информация на официальных сайтах государственных органов, органов местного самоуправления и подведомственных организаций в информационно-телекоммуникационной сети «Интернет» размещается на государственных языках Республики Татарстан.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6. Требования к технологическим, программным и лингвистическим средствам обеспечения пользования официальными сайтами государственных органов и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7. Обеспечение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осуществляется в порядке, установленном федеральным законодательством.»;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Статья 5. Организация доступа к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1. Государственные органы, органы местного самоуправления для размещения информации о своей деятельности используют информационно-телекоммуникационную сеть «Интернет»,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создают официальные сайты, за исключением случаев, предусмотренных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(портале) Республики Татарстан.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2. Государственные органы, органы местного самоуправления и подведомственные организации создают официальные страницы для размещения информации о своей деятельности в информационно-телекоммуникационной сети «Интернет».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информационно-телекоммуникационной сети «Интернет». Информация об официальных страницах с указателями данных страниц в информационно-телекоммуникационной сети «Интернет» размещается на официальном сайте соответствующих государственного органа, органа местного самоуправления или подведомственной организации.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3. Государственные органы,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4.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5. Информация на официальных сайтах государственных органов, органов местного самоуправления и подведомственных организаций в информационно-телекоммуникационной сети «Интернет» размещается на государственных языках Республики Татарстан.</w:t>
            </w:r>
          </w:p>
          <w:p>
            <w:pPr>
              <w:pStyle w:val="ConsPlusTitle"/>
              <w:widowControl w:val="false"/>
              <w:ind w:firstLine="257"/>
              <w:jc w:val="both"/>
              <w:rPr/>
            </w:pPr>
            <w:r>
              <w:rPr/>
              <w:t>6. Требования к технологическим, программным и лингвистическим средствам обеспечения пользования официальными сайтами государственных органов и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7. Обеспечение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осуществляется в порядке, установленном федеральным законодательством.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4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6. Перечни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 общедоступной информации, размещаемой государственными органами, органами местного самоуправления в информационно-телекоммуникационной сети «Интернет», в том числе информации, размещаемой в форме открытых данных (за исключением информации, указанной в части 7¹ статьи 14 Федерального закона), определяется соответствующими перечнями информации о деятельности этих органов.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Перечни информации о деятельности иных государственных органов утверждаются этими государственными органами.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в статье 6: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а) в наименовании слова «в информационно-телекоммуникационной сети «Интернет» заменить словами «на официальных сайтах»;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б) в части 1 «в информационно-телекоммуникационной сети «Интернет» заменить словами «на официальных сайтах»;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в) часть 5 после слова «утверждаются» дополнить словами «в порядке, определяемом»;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г) дополнить частью 7 следующего содержания:</w:t>
            </w:r>
          </w:p>
          <w:p>
            <w:pPr>
              <w:pStyle w:val="ConsPlusTitle"/>
              <w:widowControl w:val="false"/>
              <w:ind w:firstLine="257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«7. 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находятся.».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6. Перечни информации о деятельности государственных органов, органов местного самоуправления, размещаемой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официальных сайтах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 общедоступной информации, размещаемой государственными органами, органами местного самоуправления</w:t>
            </w:r>
            <w:r>
              <w:rPr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официальных сайтах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информации, размещаемой в форме открытых данных (за исключением информации, указанной в части 7¹ статьи 14 Федерального закона), определяется соответствующими перечнями информации о деятельности этих органов.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Перечни информации о деятельности иных государственных органов утверждаются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порядке, определяемом </w:t>
            </w:r>
            <w:r>
              <w:rPr>
                <w:rFonts w:ascii="Times New Roman" w:hAnsi="Times New Roman"/>
                <w:sz w:val="24"/>
                <w:szCs w:val="24"/>
              </w:rPr>
              <w:t>этими государственными органами.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57"/>
              <w:jc w:val="both"/>
              <w:rPr>
                <w:rFonts w:ascii="Calibri" w:hAnsi="Calibri" w:asciiTheme="minorHAnsi" w:hAnsiTheme="minorHAnsi"/>
                <w:b/>
                <w:b/>
                <w:color w:val="22272F"/>
                <w:sz w:val="23"/>
                <w:szCs w:val="23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25665698"/>
    </w:sdtPr>
    <w:sdtContent>
      <w:p>
        <w:pPr>
          <w:pStyle w:val="Style22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6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31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d131c"/>
    <w:rPr>
      <w:rFonts w:ascii="Calibri" w:hAnsi="Calibri" w:eastAsia="Calibri"/>
      <w:sz w:val="22"/>
      <w:szCs w:val="22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d131c"/>
    <w:rPr>
      <w:rFonts w:ascii="Calibri" w:hAnsi="Calibri" w:eastAsia="Calibri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ad131c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ad131c"/>
    <w:pPr>
      <w:widowControl w:val="false"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ad13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ad13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LibreOffice/7.0.6.2$Linux_X86_64 LibreOffice_project/00$Build-2</Application>
  <AppVersion>15.0000</AppVersion>
  <Pages>6</Pages>
  <Words>1526</Words>
  <Characters>12648</Characters>
  <CharactersWithSpaces>14114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2022-11-09T14:55:00Z</dcterms:created>
  <dc:creator>Kazanceva</dc:creator>
  <dc:description/>
  <dc:language>ru-RU</dc:language>
  <cp:lastModifiedBy>Kazanceva</cp:lastModifiedBy>
  <dcterms:modified xsi:type="dcterms:W3CDTF">2022-11-09T15:06:00Z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