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C4" w:rsidRPr="00A0745A" w:rsidRDefault="00705A42">
      <w:pPr>
        <w:autoSpaceDE w:val="0"/>
        <w:autoSpaceDN w:val="0"/>
        <w:adjustRightInd w:val="0"/>
        <w:ind w:right="142"/>
        <w:jc w:val="center"/>
        <w:rPr>
          <w:rFonts w:eastAsia="SimSun"/>
          <w:b/>
          <w:bCs/>
          <w:color w:val="000000"/>
          <w:szCs w:val="28"/>
          <w:lang w:val="tt-RU"/>
        </w:rPr>
      </w:pPr>
      <w:r w:rsidRPr="00A0745A">
        <w:rPr>
          <w:rFonts w:eastAsia="SimSun"/>
          <w:b/>
          <w:bCs/>
          <w:color w:val="000000"/>
          <w:szCs w:val="28"/>
          <w:lang w:val="tt-RU"/>
        </w:rPr>
        <w:t xml:space="preserve"> «Мәгариф турында» Татарстан Республикасы Законының 9 статьясына үзгәреш кертү хакында» </w:t>
      </w:r>
    </w:p>
    <w:p w:rsidR="009320C4" w:rsidRPr="00A0745A" w:rsidRDefault="00705A42">
      <w:pPr>
        <w:autoSpaceDE w:val="0"/>
        <w:autoSpaceDN w:val="0"/>
        <w:adjustRightInd w:val="0"/>
        <w:ind w:right="142"/>
        <w:jc w:val="center"/>
        <w:rPr>
          <w:b/>
          <w:bCs/>
          <w:szCs w:val="28"/>
          <w:lang w:val="tt-RU"/>
        </w:rPr>
      </w:pPr>
      <w:r w:rsidRPr="00A0745A">
        <w:rPr>
          <w:b/>
          <w:bCs/>
          <w:szCs w:val="28"/>
          <w:lang w:val="tt-RU"/>
        </w:rPr>
        <w:t>Татарстан Республикасы закон проектына</w:t>
      </w:r>
    </w:p>
    <w:p w:rsidR="009320C4" w:rsidRPr="00A0745A" w:rsidRDefault="005012CE">
      <w:pPr>
        <w:jc w:val="center"/>
        <w:rPr>
          <w:b/>
          <w:szCs w:val="28"/>
          <w:lang w:val="tt-RU"/>
        </w:rPr>
      </w:pPr>
      <w:r w:rsidRPr="00A0745A">
        <w:rPr>
          <w:b/>
          <w:bCs/>
          <w:szCs w:val="28"/>
          <w:lang w:val="tt-RU"/>
        </w:rPr>
        <w:t>ЧАГЫШТЫРМА</w:t>
      </w:r>
      <w:r w:rsidR="00705A42" w:rsidRPr="00A0745A">
        <w:rPr>
          <w:b/>
          <w:szCs w:val="28"/>
          <w:lang w:val="tt-RU"/>
        </w:rPr>
        <w:t xml:space="preserve"> ТАБЛИЦА</w:t>
      </w:r>
    </w:p>
    <w:p w:rsidR="009320C4" w:rsidRPr="00A0745A" w:rsidRDefault="009320C4" w:rsidP="005700FC">
      <w:pPr>
        <w:autoSpaceDE w:val="0"/>
        <w:autoSpaceDN w:val="0"/>
        <w:adjustRightInd w:val="0"/>
        <w:rPr>
          <w:b/>
          <w:bCs/>
          <w:szCs w:val="28"/>
          <w:lang w:val="tt-RU"/>
        </w:rPr>
      </w:pPr>
    </w:p>
    <w:tbl>
      <w:tblPr>
        <w:tblStyle w:val="ab"/>
        <w:tblW w:w="0" w:type="auto"/>
        <w:tblLook w:val="04A0" w:firstRow="1" w:lastRow="0" w:firstColumn="1" w:lastColumn="0" w:noHBand="0" w:noVBand="1"/>
      </w:tblPr>
      <w:tblGrid>
        <w:gridCol w:w="4937"/>
        <w:gridCol w:w="4938"/>
        <w:gridCol w:w="4938"/>
      </w:tblGrid>
      <w:tr w:rsidR="00A0745A" w:rsidRPr="00A0745A">
        <w:tc>
          <w:tcPr>
            <w:tcW w:w="4937" w:type="dxa"/>
            <w:vAlign w:val="center"/>
          </w:tcPr>
          <w:p w:rsidR="00A0745A" w:rsidRPr="00A0745A" w:rsidRDefault="00A0745A">
            <w:pPr>
              <w:autoSpaceDE w:val="0"/>
              <w:autoSpaceDN w:val="0"/>
              <w:adjustRightInd w:val="0"/>
              <w:jc w:val="center"/>
              <w:rPr>
                <w:bCs/>
                <w:sz w:val="24"/>
                <w:lang w:val="tt-RU"/>
              </w:rPr>
            </w:pPr>
            <w:bookmarkStart w:id="0" w:name="_GoBack"/>
            <w:bookmarkEnd w:id="0"/>
            <w:r w:rsidRPr="00A0745A">
              <w:rPr>
                <w:sz w:val="24"/>
                <w:lang w:val="tt-RU"/>
              </w:rPr>
              <w:t>Гамәлдәге редакция</w:t>
            </w:r>
          </w:p>
        </w:tc>
        <w:tc>
          <w:tcPr>
            <w:tcW w:w="4938" w:type="dxa"/>
            <w:vAlign w:val="center"/>
          </w:tcPr>
          <w:p w:rsidR="00A0745A" w:rsidRPr="00A0745A" w:rsidRDefault="00A0745A">
            <w:pPr>
              <w:autoSpaceDE w:val="0"/>
              <w:autoSpaceDN w:val="0"/>
              <w:adjustRightInd w:val="0"/>
              <w:jc w:val="center"/>
              <w:rPr>
                <w:b/>
                <w:bCs/>
                <w:sz w:val="24"/>
                <w:lang w:val="tt-RU"/>
              </w:rPr>
            </w:pPr>
            <w:r w:rsidRPr="00A0745A">
              <w:rPr>
                <w:sz w:val="24"/>
                <w:lang w:val="tt-RU"/>
              </w:rPr>
              <w:t>Тәкъдим ителә торган үзгәрешләр</w:t>
            </w:r>
          </w:p>
        </w:tc>
        <w:tc>
          <w:tcPr>
            <w:tcW w:w="4938" w:type="dxa"/>
            <w:vAlign w:val="center"/>
          </w:tcPr>
          <w:p w:rsidR="00A0745A" w:rsidRPr="00A0745A" w:rsidRDefault="00A0745A">
            <w:pPr>
              <w:autoSpaceDE w:val="0"/>
              <w:autoSpaceDN w:val="0"/>
              <w:adjustRightInd w:val="0"/>
              <w:jc w:val="center"/>
              <w:rPr>
                <w:b/>
                <w:bCs/>
                <w:sz w:val="24"/>
                <w:lang w:val="tt-RU"/>
              </w:rPr>
            </w:pPr>
            <w:r w:rsidRPr="00A0745A">
              <w:rPr>
                <w:sz w:val="24"/>
                <w:lang w:val="tt-RU"/>
              </w:rPr>
              <w:t xml:space="preserve">Тәкъдим ителә торган үзгәрешләр исәпкә алынган редакция </w:t>
            </w:r>
          </w:p>
        </w:tc>
      </w:tr>
      <w:tr w:rsidR="00A0745A" w:rsidRPr="00A0745A">
        <w:tc>
          <w:tcPr>
            <w:tcW w:w="4937" w:type="dxa"/>
          </w:tcPr>
          <w:p w:rsidR="00A0745A" w:rsidRPr="00A0745A" w:rsidRDefault="00A0745A" w:rsidP="005700FC">
            <w:pPr>
              <w:autoSpaceDE w:val="0"/>
              <w:autoSpaceDN w:val="0"/>
              <w:adjustRightInd w:val="0"/>
              <w:ind w:firstLine="311"/>
              <w:jc w:val="both"/>
              <w:outlineLvl w:val="0"/>
              <w:rPr>
                <w:rFonts w:eastAsia="YS Text"/>
                <w:color w:val="000000"/>
                <w:szCs w:val="28"/>
                <w:shd w:val="clear" w:color="auto" w:fill="FFFFFF"/>
                <w:lang w:val="tt-RU"/>
              </w:rPr>
            </w:pPr>
            <w:r w:rsidRPr="00A0745A">
              <w:rPr>
                <w:rFonts w:eastAsia="YS Text"/>
                <w:color w:val="000000"/>
                <w:szCs w:val="28"/>
                <w:shd w:val="clear" w:color="auto" w:fill="FFFFFF"/>
                <w:lang w:val="tt-RU"/>
              </w:rPr>
              <w:t>9 статья. Укучылар киеменә карата таләпләр</w:t>
            </w:r>
          </w:p>
          <w:p w:rsidR="00A0745A" w:rsidRPr="00A0745A" w:rsidRDefault="00A0745A">
            <w:pPr>
              <w:autoSpaceDE w:val="0"/>
              <w:autoSpaceDN w:val="0"/>
              <w:adjustRightInd w:val="0"/>
              <w:ind w:firstLine="399"/>
              <w:jc w:val="both"/>
              <w:outlineLvl w:val="0"/>
              <w:rPr>
                <w:rFonts w:eastAsia="YS Text"/>
                <w:color w:val="000000"/>
                <w:szCs w:val="28"/>
                <w:shd w:val="clear" w:color="auto" w:fill="FFFFFF"/>
                <w:lang w:val="tt-RU" w:eastAsia="en-US"/>
              </w:rPr>
            </w:pPr>
          </w:p>
          <w:p w:rsidR="00A0745A" w:rsidRPr="00A0745A" w:rsidRDefault="00A0745A">
            <w:pPr>
              <w:shd w:val="clear" w:color="auto" w:fill="FFFFFF"/>
              <w:jc w:val="both"/>
              <w:rPr>
                <w:rFonts w:eastAsia="YS Text"/>
                <w:color w:val="000000"/>
                <w:szCs w:val="28"/>
                <w:lang w:val="tt-RU"/>
              </w:rPr>
            </w:pPr>
            <w:bookmarkStart w:id="1" w:name="Par4"/>
            <w:bookmarkEnd w:id="1"/>
            <w:r w:rsidRPr="00A0745A">
              <w:rPr>
                <w:rFonts w:eastAsia="YS Text"/>
                <w:color w:val="000000"/>
                <w:szCs w:val="28"/>
                <w:shd w:val="clear" w:color="auto" w:fill="FFFFFF"/>
                <w:lang w:val="tt-RU" w:eastAsia="zh-CN" w:bidi="ar"/>
              </w:rPr>
              <w:t>2. Башлангыч гомуми, төп гомуми һәм урта гомуми белемнең уку-укыту программалары буенча белем бирү эшчәнлеген гамәлгә ашыра торган Татарстан Республикасы дәүләт мәгариф оешмалары һәм Татарстан Республикасында муниципаль берәмлекләрнең муниципаль мәгариф оешмалары укучылар киеменә карата таләпләрне Татарстан Республикасы Министрлар Кабинеты тарафыннан расланган үрнәк таләпләр нигезендә билгелиләр.</w:t>
            </w:r>
          </w:p>
          <w:p w:rsidR="00A0745A" w:rsidRPr="00A0745A" w:rsidRDefault="00A0745A">
            <w:pPr>
              <w:autoSpaceDE w:val="0"/>
              <w:autoSpaceDN w:val="0"/>
              <w:adjustRightInd w:val="0"/>
              <w:ind w:firstLine="399"/>
              <w:jc w:val="both"/>
              <w:rPr>
                <w:bCs/>
                <w:szCs w:val="28"/>
                <w:lang w:val="tt-RU"/>
              </w:rPr>
            </w:pPr>
          </w:p>
        </w:tc>
        <w:tc>
          <w:tcPr>
            <w:tcW w:w="4938" w:type="dxa"/>
          </w:tcPr>
          <w:p w:rsidR="00A0745A" w:rsidRPr="00A0745A" w:rsidRDefault="00A0745A" w:rsidP="005700FC">
            <w:pPr>
              <w:autoSpaceDE w:val="0"/>
              <w:autoSpaceDN w:val="0"/>
              <w:adjustRightInd w:val="0"/>
              <w:ind w:firstLine="335"/>
              <w:jc w:val="both"/>
              <w:rPr>
                <w:rFonts w:eastAsia="SimSun"/>
                <w:color w:val="000000"/>
                <w:szCs w:val="28"/>
                <w:lang w:val="tt-RU"/>
              </w:rPr>
            </w:pPr>
            <w:r w:rsidRPr="00A0745A">
              <w:rPr>
                <w:rFonts w:eastAsia="SimSun"/>
                <w:color w:val="000000"/>
                <w:szCs w:val="28"/>
                <w:lang w:val="tt-RU"/>
              </w:rPr>
              <w:t>9 статьядагы 2 өлешкә «Татарстан Республикасы Министрлар Кабинеты тарафыннан расланган» сүзләрен «мәгариф өлкәсендә дәүләт идарәсен гамәлгә ашыручы Татарстан Республикасы башкарма хакимияте органнары тарафыннан расланган» сүзләренә алмаштырып, үзгәреш кертергә.</w:t>
            </w:r>
          </w:p>
          <w:p w:rsidR="00A0745A" w:rsidRPr="00A0745A" w:rsidRDefault="00A0745A">
            <w:pPr>
              <w:autoSpaceDE w:val="0"/>
              <w:autoSpaceDN w:val="0"/>
              <w:adjustRightInd w:val="0"/>
              <w:ind w:firstLine="399"/>
              <w:jc w:val="both"/>
              <w:rPr>
                <w:rFonts w:eastAsiaTheme="minorHAnsi"/>
                <w:bCs/>
                <w:szCs w:val="28"/>
                <w:lang w:val="tt-RU" w:eastAsia="en-US"/>
              </w:rPr>
            </w:pPr>
          </w:p>
          <w:p w:rsidR="00A0745A" w:rsidRPr="00A0745A" w:rsidRDefault="00A0745A">
            <w:pPr>
              <w:autoSpaceDE w:val="0"/>
              <w:autoSpaceDN w:val="0"/>
              <w:adjustRightInd w:val="0"/>
              <w:ind w:firstLine="399"/>
              <w:jc w:val="both"/>
              <w:rPr>
                <w:rFonts w:eastAsiaTheme="minorHAnsi"/>
                <w:bCs/>
                <w:szCs w:val="28"/>
                <w:lang w:val="tt-RU" w:eastAsia="en-US"/>
              </w:rPr>
            </w:pPr>
          </w:p>
        </w:tc>
        <w:tc>
          <w:tcPr>
            <w:tcW w:w="4938" w:type="dxa"/>
          </w:tcPr>
          <w:p w:rsidR="00A0745A" w:rsidRPr="00A0745A" w:rsidRDefault="00A0745A" w:rsidP="005700FC">
            <w:pPr>
              <w:autoSpaceDE w:val="0"/>
              <w:autoSpaceDN w:val="0"/>
              <w:adjustRightInd w:val="0"/>
              <w:ind w:firstLine="358"/>
              <w:jc w:val="both"/>
              <w:outlineLvl w:val="0"/>
              <w:rPr>
                <w:rFonts w:eastAsia="YS Text"/>
                <w:color w:val="000000"/>
                <w:szCs w:val="28"/>
                <w:shd w:val="clear" w:color="auto" w:fill="FFFFFF"/>
                <w:lang w:val="tt-RU"/>
              </w:rPr>
            </w:pPr>
            <w:r w:rsidRPr="00A0745A">
              <w:rPr>
                <w:rFonts w:eastAsia="YS Text"/>
                <w:color w:val="000000"/>
                <w:szCs w:val="28"/>
                <w:shd w:val="clear" w:color="auto" w:fill="FFFFFF"/>
                <w:lang w:val="tt-RU"/>
              </w:rPr>
              <w:t>9 статья. Укучылар киеменә карата таләпләр</w:t>
            </w:r>
          </w:p>
          <w:p w:rsidR="00A0745A" w:rsidRPr="00A0745A" w:rsidRDefault="00A0745A">
            <w:pPr>
              <w:autoSpaceDE w:val="0"/>
              <w:autoSpaceDN w:val="0"/>
              <w:adjustRightInd w:val="0"/>
              <w:ind w:firstLine="399"/>
              <w:jc w:val="both"/>
              <w:outlineLvl w:val="0"/>
              <w:rPr>
                <w:rFonts w:eastAsiaTheme="minorHAnsi"/>
                <w:bCs/>
                <w:szCs w:val="28"/>
                <w:lang w:val="tt-RU" w:eastAsia="en-US"/>
              </w:rPr>
            </w:pPr>
          </w:p>
          <w:p w:rsidR="00A0745A" w:rsidRPr="00A0745A" w:rsidRDefault="00A0745A" w:rsidP="005700FC">
            <w:pPr>
              <w:shd w:val="clear" w:color="auto" w:fill="FFFFFF"/>
              <w:jc w:val="both"/>
              <w:rPr>
                <w:rFonts w:eastAsia="YS Text"/>
                <w:color w:val="000000"/>
                <w:szCs w:val="28"/>
                <w:lang w:val="tt-RU"/>
              </w:rPr>
            </w:pPr>
            <w:r w:rsidRPr="00A0745A">
              <w:rPr>
                <w:rFonts w:eastAsia="YS Text"/>
                <w:color w:val="000000"/>
                <w:szCs w:val="28"/>
                <w:shd w:val="clear" w:color="auto" w:fill="FFFFFF"/>
                <w:lang w:val="tt-RU" w:eastAsia="zh-CN" w:bidi="ar"/>
              </w:rPr>
              <w:t xml:space="preserve">2. Башлангыч гомуми, төп гомуми һәм урта гомуми белемнең уку-укыту программалары буенча белем бирү эшчәнлеген гамәлгә ашыра торган Татарстан Республикасы дәүләт мәгариф оешмалары һәм Татарстан Республикасында муниципаль берәмлекләрнең муниципаль мәгариф оешмалары укучылар киеменә карата таләпләрне </w:t>
            </w:r>
            <w:r w:rsidRPr="00A0745A">
              <w:rPr>
                <w:rFonts w:eastAsia="SimSun"/>
                <w:b/>
                <w:bCs/>
                <w:color w:val="000000"/>
                <w:szCs w:val="28"/>
                <w:lang w:val="tt-RU"/>
              </w:rPr>
              <w:t>мәгариф өлкәсендә дәүләт идарәсен гамәлгә ашыручы Татарстан Ре</w:t>
            </w:r>
            <w:r w:rsidRPr="00A0745A">
              <w:rPr>
                <w:rFonts w:eastAsia="SimSun"/>
                <w:b/>
                <w:bCs/>
                <w:color w:val="000000"/>
                <w:szCs w:val="28"/>
                <w:lang w:val="tt-RU"/>
              </w:rPr>
              <w:t>с</w:t>
            </w:r>
            <w:r w:rsidRPr="00A0745A">
              <w:rPr>
                <w:rFonts w:eastAsia="SimSun"/>
                <w:b/>
                <w:bCs/>
                <w:color w:val="000000"/>
                <w:szCs w:val="28"/>
                <w:lang w:val="tt-RU"/>
              </w:rPr>
              <w:t>публикасы башкарма хакимияте органнары тарафыннан расланган</w:t>
            </w:r>
            <w:r w:rsidRPr="00A0745A">
              <w:rPr>
                <w:rFonts w:eastAsia="YS Text"/>
                <w:color w:val="000000"/>
                <w:szCs w:val="28"/>
                <w:shd w:val="clear" w:color="auto" w:fill="FFFFFF"/>
                <w:lang w:val="tt-RU" w:eastAsia="zh-CN" w:bidi="ar"/>
              </w:rPr>
              <w:t xml:space="preserve"> үрнәк таләпләр нигезендә билгелиләр.</w:t>
            </w:r>
          </w:p>
        </w:tc>
      </w:tr>
    </w:tbl>
    <w:p w:rsidR="009320C4" w:rsidRPr="00A0745A" w:rsidRDefault="009320C4">
      <w:pPr>
        <w:autoSpaceDE w:val="0"/>
        <w:autoSpaceDN w:val="0"/>
        <w:adjustRightInd w:val="0"/>
        <w:jc w:val="center"/>
        <w:rPr>
          <w:b/>
          <w:bCs/>
          <w:szCs w:val="28"/>
          <w:lang w:val="tt-RU"/>
        </w:rPr>
      </w:pPr>
    </w:p>
    <w:p w:rsidR="00A0745A" w:rsidRPr="00A0745A" w:rsidRDefault="00A0745A">
      <w:pPr>
        <w:autoSpaceDE w:val="0"/>
        <w:autoSpaceDN w:val="0"/>
        <w:adjustRightInd w:val="0"/>
        <w:jc w:val="center"/>
        <w:rPr>
          <w:b/>
          <w:bCs/>
          <w:szCs w:val="28"/>
          <w:lang w:val="tt-RU"/>
        </w:rPr>
      </w:pPr>
    </w:p>
    <w:sectPr w:rsidR="00A0745A" w:rsidRPr="00A0745A">
      <w:headerReference w:type="default" r:id="rId8"/>
      <w:pgSz w:w="16838" w:h="11906" w:orient="landscape"/>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C4" w:rsidRDefault="00705A42">
      <w:r>
        <w:separator/>
      </w:r>
    </w:p>
  </w:endnote>
  <w:endnote w:type="continuationSeparator" w:id="0">
    <w:p w:rsidR="009320C4" w:rsidRDefault="0070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Segoe Print"/>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C4" w:rsidRDefault="00705A42">
      <w:r>
        <w:separator/>
      </w:r>
    </w:p>
  </w:footnote>
  <w:footnote w:type="continuationSeparator" w:id="0">
    <w:p w:rsidR="009320C4" w:rsidRDefault="0070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49128"/>
      <w:docPartObj>
        <w:docPartGallery w:val="AutoText"/>
      </w:docPartObj>
    </w:sdtPr>
    <w:sdtEndPr/>
    <w:sdtContent>
      <w:p w:rsidR="009320C4" w:rsidRDefault="00705A42">
        <w:pPr>
          <w:pStyle w:val="a5"/>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FA"/>
    <w:rsid w:val="001540DB"/>
    <w:rsid w:val="001F7DCC"/>
    <w:rsid w:val="00495F77"/>
    <w:rsid w:val="005012CE"/>
    <w:rsid w:val="005700FC"/>
    <w:rsid w:val="00705A42"/>
    <w:rsid w:val="007762C1"/>
    <w:rsid w:val="00791DB8"/>
    <w:rsid w:val="008A6CB1"/>
    <w:rsid w:val="009320C4"/>
    <w:rsid w:val="00A0745A"/>
    <w:rsid w:val="00AB27E1"/>
    <w:rsid w:val="00B074CE"/>
    <w:rsid w:val="00B47FC5"/>
    <w:rsid w:val="00D475FD"/>
    <w:rsid w:val="00F30CFA"/>
    <w:rsid w:val="462C16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4"/>
    </w:rPr>
  </w:style>
  <w:style w:type="paragraph" w:styleId="1">
    <w:name w:val="heading 1"/>
    <w:basedOn w:val="a"/>
    <w:next w:val="a"/>
    <w:link w:val="10"/>
    <w:qFormat/>
    <w:pPr>
      <w:keepNext/>
      <w:keepLines/>
      <w:spacing w:before="480" w:line="276" w:lineRule="auto"/>
      <w:outlineLvl w:val="0"/>
    </w:pPr>
    <w:rPr>
      <w:rFonts w:ascii="Cambria" w:hAnsi="Cambria"/>
      <w:b/>
      <w:bCs/>
      <w:color w:val="365F91"/>
      <w:szCs w:val="28"/>
      <w:lang w:val="zh-C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Body Text"/>
    <w:basedOn w:val="a"/>
    <w:link w:val="a8"/>
    <w:uiPriority w:val="1"/>
    <w:unhideWhenUsed/>
    <w:qFormat/>
    <w:pPr>
      <w:widowControl w:val="0"/>
      <w:autoSpaceDE w:val="0"/>
      <w:autoSpaceDN w:val="0"/>
    </w:pPr>
    <w:rPr>
      <w:szCs w:val="28"/>
      <w:lang w:eastAsia="en-US"/>
    </w:rPr>
  </w:style>
  <w:style w:type="paragraph" w:styleId="a9">
    <w:name w:val="footer"/>
    <w:basedOn w:val="a"/>
    <w:link w:val="aa"/>
    <w:uiPriority w:val="99"/>
    <w:unhideWhenUsed/>
    <w:pPr>
      <w:tabs>
        <w:tab w:val="center" w:pos="4677"/>
        <w:tab w:val="right" w:pos="9355"/>
      </w:tabs>
    </w:p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Cambria" w:eastAsia="Times New Roman" w:hAnsi="Cambria" w:cs="Times New Roman"/>
      <w:b/>
      <w:bCs/>
      <w:color w:val="365F91"/>
      <w:sz w:val="28"/>
      <w:szCs w:val="28"/>
      <w:lang w:val="zh-CN"/>
    </w:rPr>
  </w:style>
  <w:style w:type="character" w:customStyle="1" w:styleId="a6">
    <w:name w:val="Верхний колонтитул Знак"/>
    <w:basedOn w:val="a0"/>
    <w:link w:val="a5"/>
    <w:uiPriority w:val="99"/>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1"/>
    <w:rPr>
      <w:rFonts w:ascii="Times New Roman" w:eastAsia="Times New Roman" w:hAnsi="Times New Roman" w:cs="Times New Roman"/>
      <w:sz w:val="28"/>
      <w:szCs w:val="28"/>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4"/>
    </w:rPr>
  </w:style>
  <w:style w:type="paragraph" w:styleId="1">
    <w:name w:val="heading 1"/>
    <w:basedOn w:val="a"/>
    <w:next w:val="a"/>
    <w:link w:val="10"/>
    <w:qFormat/>
    <w:pPr>
      <w:keepNext/>
      <w:keepLines/>
      <w:spacing w:before="480" w:line="276" w:lineRule="auto"/>
      <w:outlineLvl w:val="0"/>
    </w:pPr>
    <w:rPr>
      <w:rFonts w:ascii="Cambria" w:hAnsi="Cambria"/>
      <w:b/>
      <w:bCs/>
      <w:color w:val="365F91"/>
      <w:szCs w:val="28"/>
      <w:lang w:val="zh-C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Body Text"/>
    <w:basedOn w:val="a"/>
    <w:link w:val="a8"/>
    <w:uiPriority w:val="1"/>
    <w:unhideWhenUsed/>
    <w:qFormat/>
    <w:pPr>
      <w:widowControl w:val="0"/>
      <w:autoSpaceDE w:val="0"/>
      <w:autoSpaceDN w:val="0"/>
    </w:pPr>
    <w:rPr>
      <w:szCs w:val="28"/>
      <w:lang w:eastAsia="en-US"/>
    </w:rPr>
  </w:style>
  <w:style w:type="paragraph" w:styleId="a9">
    <w:name w:val="footer"/>
    <w:basedOn w:val="a"/>
    <w:link w:val="aa"/>
    <w:uiPriority w:val="99"/>
    <w:unhideWhenUsed/>
    <w:pPr>
      <w:tabs>
        <w:tab w:val="center" w:pos="4677"/>
        <w:tab w:val="right" w:pos="9355"/>
      </w:tabs>
    </w:p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Cambria" w:eastAsia="Times New Roman" w:hAnsi="Cambria" w:cs="Times New Roman"/>
      <w:b/>
      <w:bCs/>
      <w:color w:val="365F91"/>
      <w:sz w:val="28"/>
      <w:szCs w:val="28"/>
      <w:lang w:val="zh-CN"/>
    </w:rPr>
  </w:style>
  <w:style w:type="character" w:customStyle="1" w:styleId="a6">
    <w:name w:val="Верхний колонтитул Знак"/>
    <w:basedOn w:val="a0"/>
    <w:link w:val="a5"/>
    <w:uiPriority w:val="99"/>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1"/>
    <w:rPr>
      <w:rFonts w:ascii="Times New Roman" w:eastAsia="Times New Roman" w:hAnsi="Times New Roman" w:cs="Times New Roman"/>
      <w:sz w:val="28"/>
      <w:szCs w:val="28"/>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Kazanceva</cp:lastModifiedBy>
  <cp:revision>5</cp:revision>
  <dcterms:created xsi:type="dcterms:W3CDTF">2021-07-27T07:26:00Z</dcterms:created>
  <dcterms:modified xsi:type="dcterms:W3CDTF">2021-09-03T11:24:00Z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